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0" w:before="0" w:line="360" w:lineRule="atLeast"/>
      </w:pPr>
      <w:bookmarkStart w:id="0" w:name="A"/>
      <w:bookmarkEnd w:id="0"/>
      <w:r>
        <w:rPr>
          <w:rFonts w:ascii="Lucida Sans Unicode" w:cs="Lucida Sans Unicode" w:eastAsia="Times New Roman" w:hAnsi="Lucida Sans Unicode"/>
          <w:b/>
          <w:bCs/>
          <w:color w:val="333333"/>
          <w:sz w:val="32"/>
          <w:szCs w:val="24"/>
          <w:shd w:fill="auto" w:val="clear"/>
          <w:lang w:eastAsia="en-GB" w:val="ru-RU"/>
        </w:rPr>
        <w:t>Права ребенка в Европейском Союзе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Вступление в силу 1 декабря 2009 г. </w:t>
      </w:r>
      <w:hyperlink r:id="rId2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Лиссабонского договор</w:t>
        </w:r>
      </w:hyperlink>
      <w:r>
        <w:rPr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>а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придало </w:t>
      </w:r>
      <w:hyperlink r:id="rId3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 xml:space="preserve">Хартии фундаментальных прав ЕС 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такое же юридически обязывающее значение, которым обладают договоры и соглашения в законодательстве ЕС. Статья 24 является основным положением акта Хартии, который имеет отношение к детям и включает такие принципы, как наилучшие интересы ребенка, права ребенка на защиту и заботу, право ребенка на прямой контакт со своими родителями, в случае если это не противоречит интересам ребенка.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Это не значит, что в судебной практике можно напрямую ссылаться на Хартию, а также, что органы ЕС могут издавать законы для расширения своих прав. В обеих статьях – статье 6 дополненного Договора о Европейском Союзе и статье 51(2) самой Хартии – четко разъясняется, что Хартия не расширяет полномочия органов Евросоюза.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Однако в случае применения законов Евросоюза они должны быть истолкованы в соответствии с правами, провозглашенными в Хартии. Если Европейский закон затрагивает тему камеры временного задержания, относящееся к нему законодательство должно быть истолковано в пределах статьи 24 Хартии. Для примера, где прецедентое право Европейского суда требует  интерпретации законодательства ЕС в соответствии с Хартией в контексте прав ребенка, смотрите: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r:id="rId4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J</w:t>
        </w:r>
      </w:hyperlink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>.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McB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 xml:space="preserve"> 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V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 xml:space="preserve"> 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L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>.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E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 xml:space="preserve">. [2010] 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C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 xml:space="preserve">-400/10 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PPU</w:t>
      </w:r>
    </w:p>
    <w:p>
      <w:pPr>
        <w:pStyle w:val="style0"/>
        <w:shd w:fill="FFFFFF" w:val="clear"/>
        <w:spacing w:after="0" w:before="0" w:line="360" w:lineRule="atLeast"/>
      </w:pPr>
      <w:hyperlink r:id="rId5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 xml:space="preserve">Обобщенный вариант договоров ЕС и Хартии фундаментальных прав  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можно найти через веб-сайт Евросоюза. Узнать подробнее о Евросоюзе можно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r:id="rId6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здесь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.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bookmarkStart w:id="1" w:name="B"/>
      <w:bookmarkEnd w:id="1"/>
      <w:r>
        <w:rPr>
          <w:rFonts w:ascii="Lucida Sans Unicode" w:cs="Lucida Sans Unicode" w:eastAsia="Times New Roman" w:hAnsi="Lucida Sans Unicode"/>
          <w:b/>
          <w:bCs/>
          <w:color w:val="333333"/>
          <w:sz w:val="32"/>
          <w:szCs w:val="24"/>
          <w:shd w:fill="auto" w:val="clear"/>
          <w:lang w:eastAsia="en-GB" w:val="ru-RU"/>
        </w:rPr>
        <w:t>Европейский Союз и Европейская конвенция по правам человека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В результате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принятия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Лиссабонского договора, статья 6(2) дополненного Договора о Европейском Союзе предусматривает то, что  «Союз должен присоединиться к Европейской конвенции по защите прав человека и основных свобод» (ЕКПЧ).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В период с июля 2010 года по июнь 2011 года проводились встречи неофициальной рабочей группы по вопросам развития документа о присоединении, и в октябре 2011 года внеочередное заседание Руководящего комитета по правам человека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CDDH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) рассмотрит результаты работы,  проведенной рабочей группой. Затем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CDDH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должен будет подать Комитету министров и Совету Европы соглашение о присоединении. Парламентской Ассамблее Совета Европы и двум Европейским судам будет дана возможность выразить мнение по этому соглашению, которое потом должно быть принято Комитетом министров. Присоединение к ЕКПЧ вступит в силу только после ратификации соглашения всеми государствами-участниками ЕКПЧ и самим Европейским Союзом.</w:t>
      </w:r>
    </w:p>
    <w:p>
      <w:pPr>
        <w:pStyle w:val="style0"/>
        <w:shd w:fill="FFFFFF" w:val="clear"/>
        <w:spacing w:after="0" w:before="0" w:line="360" w:lineRule="atLeast"/>
      </w:pPr>
      <w:hyperlink r:id="rId7">
        <w:r>
          <w:rPr/>
        </w:r>
      </w:hyperlink>
    </w:p>
    <w:p>
      <w:pPr>
        <w:pStyle w:val="style0"/>
        <w:shd w:fill="FFFFFF" w:val="clear"/>
        <w:spacing w:after="0" w:before="0" w:line="360" w:lineRule="atLeast"/>
      </w:pPr>
      <w:hyperlink r:id="rId8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Совет Европы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 состоящий из 47 членов, включая 27 членов ЕС, отличается от Европейского Союза (ЕС) и является самостоятельно международной организацией.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Подробнее читатйте: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360" w:lineRule="atLeast"/>
        <w:ind w:hanging="0" w:left="255" w:right="0"/>
      </w:pPr>
      <w:hyperlink r:id="rId9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Присоединение ЕС к Европейской конвенции по правам человека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(веб-сайт Совета Европы)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360" w:lineRule="atLeast"/>
        <w:ind w:hanging="0" w:left="255" w:right="0"/>
      </w:pPr>
      <w:hyperlink r:id="rId10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Присоединение ЕС к Европейской конвенции по правам человека: Ответы на часто задаваемые вопросы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(Совет Европы, июнь 2011)</w:t>
      </w:r>
    </w:p>
    <w:p>
      <w:pPr>
        <w:pStyle w:val="style0"/>
        <w:shd w:fill="FFFFFF" w:val="clear"/>
        <w:spacing w:after="0" w:before="0" w:line="360" w:lineRule="atLeast"/>
        <w:ind w:hanging="0" w:left="255" w:right="0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bookmarkStart w:id="2" w:name="C"/>
      <w:bookmarkEnd w:id="2"/>
      <w:r>
        <w:rPr>
          <w:rFonts w:ascii="Lucida Sans Unicode" w:cs="Lucida Sans Unicode" w:eastAsia="Times New Roman" w:hAnsi="Lucida Sans Unicode"/>
          <w:b/>
          <w:bCs/>
          <w:color w:val="333333"/>
          <w:sz w:val="32"/>
          <w:szCs w:val="24"/>
          <w:shd w:fill="auto" w:val="clear"/>
          <w:lang w:eastAsia="en-GB" w:val="ru-RU"/>
        </w:rPr>
        <w:t>Политика и программы ЕС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4 июля 2006 г. Европейская комиссия выпустила коммюнике «На пути к стратегии ЕС по правам ребенка». Цель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документа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– выработать комплексный подход к вопросу о защите прав ребенка в рамках внутренней и внешней политики ЕС.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Коммюнике включило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семь долгосрочных целей (например, борьба с детской нищетой) и краткосрочных мер (телефонная линия помощи детям со всей Европы). В нем также требовалось от Комиссии назначить «Координатора по вопросам прав ребенка» для выполнения функции контактного лица и координирования деятельности по достижению этих целей.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15 февраля 2011г. Этот документ был заменен </w:t>
      </w:r>
      <w:hyperlink r:id="rId11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коммюнике «Повестка дня ЕС по защите прав ребенка»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. В нем были изложены 11 мер на предстоящий год по созданию более дружественной к ребенку системы правосудия. Другими мерами являются принятие предложения по созданию директивы по правам пострадавших с целью улучшения уровня защиты уязвимых пострадавших (включая детей), а также вынесение на рассмотрение директивы по особой охране подозреваемых и обвиняемых лиц, являющихся уязвимыми (включая детей). Некоторые представители групп, борющихся за права детей, считают это коммюнике «слабым в отношении мер, которые должны обеспечить выполнение обязательств по защите прав ребенка».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Подробнее читайте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: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hyperlink r:id="rId12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Повестка дня ЕС по защите прав ребенка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(коммюнике от Комиссии, февраль 2011г.)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hyperlink w:anchor="Agenda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Повестка дня ЕС по защите прав ребенка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(Спасите детей!, март 2011г.)</w:t>
      </w:r>
    </w:p>
    <w:p>
      <w:pPr>
        <w:pStyle w:val="style0"/>
        <w:shd w:fill="FFFFFF" w:val="clear"/>
        <w:spacing w:after="0" w:before="0" w:line="360" w:lineRule="atLeast"/>
        <w:ind w:hanging="0" w:left="255" w:right="0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Европейский Союз принял около 50 документов. В их числе такие законодательные документы как положения, директивы и решения, а также документы, не имеющие законодательной силы, – «зеленые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книги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», коммюнике, доклады, исследования и декларации. Они все используются в качестве инструментов для продвижения прав ребенка в таких областях, как: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убежище и иммиграция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правосудие и семейные вопросы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торговля детьми и проституция,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насилие в отношении детей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безопасность детей при использовании интернета и ТВ,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дискриминация и социальная изоляция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детская нищета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детский труд (включая торговые соглашения в поддержку отмены детского труда),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медицинское обслуживание и образование,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дети в вооруженных конфликтах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.</w:t>
      </w:r>
    </w:p>
    <w:p>
      <w:pPr>
        <w:pStyle w:val="style0"/>
        <w:shd w:fill="FFFFFF" w:val="clear"/>
        <w:spacing w:after="0" w:before="0" w:line="360" w:lineRule="atLeast"/>
        <w:ind w:hanging="0" w:left="255" w:right="0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В 2009 г.  Евросоюз начал программу по защите прав детей, пострадавших от преступлений, в рамках инициативы «Дети в Евросоюзе: права и расширение возможностей»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CURE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), в результате чего в 2010 г. был опубликован официальный доклад, содержащий рекомендации Еврокомиссии и государствам-членам Евросоюза.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В дополнение были разработаны следующие программы финансовой поддержки: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tLeast"/>
        <w:ind w:hanging="0" w:left="255" w:right="0"/>
      </w:pPr>
      <w:hyperlink r:id="rId13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DAPHNEE</w:t>
        </w:r>
      </w:hyperlink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 xml:space="preserve"> 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II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–программа борьбы с насилием в отношениях к детям, молодым людям и женщинам,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tLeast"/>
        <w:ind w:hanging="0" w:left="255" w:right="0"/>
      </w:pPr>
      <w:hyperlink r:id="rId14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AGIS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– программа борьбы с торговлей людьми и сексуальной эксплуатацией женщин и детей, как часть борьбы с организованной преступностью,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tLeast"/>
        <w:ind w:hanging="0" w:left="255" w:right="0"/>
      </w:pPr>
      <w:hyperlink r:id="rId15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Safer</w:t>
        </w:r>
      </w:hyperlink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 xml:space="preserve"> 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Internet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 xml:space="preserve"> </w:t>
      </w:r>
      <w:r>
        <w:rPr>
          <w:rStyle w:val="style19"/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Plus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– продвижение принципов более безопасного использования интернета, особенно среди детей,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tLeast"/>
        <w:ind w:hanging="0" w:left="255" w:right="0"/>
      </w:pPr>
      <w:hyperlink r:id="rId16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Проекты двадцати пяти прав ребенка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определены в качестве приоритетных в рамках Европейской инициативы в области демократии и прав человека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EIDHR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) в 2001 г., и получили приоритетное финансирование в период  между 2002-2004 гг.  </w:t>
      </w:r>
    </w:p>
    <w:p>
      <w:pPr>
        <w:pStyle w:val="style0"/>
        <w:shd w:fill="FFFFFF" w:val="clear"/>
        <w:spacing w:after="0" w:before="0" w:line="360" w:lineRule="atLeast"/>
        <w:ind w:hanging="0" w:left="255" w:right="0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Более подробный список сфер, преосвященных защите прав ребенка, можно найти здесь, а документы и проекты – </w:t>
      </w:r>
      <w:hyperlink r:id="rId17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здесь.</w:t>
        </w:r>
      </w:hyperlink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bookmarkStart w:id="3" w:name="D"/>
      <w:bookmarkEnd w:id="3"/>
      <w:r>
        <w:rPr>
          <w:rFonts w:ascii="Lucida Sans Unicode" w:cs="Lucida Sans Unicode" w:eastAsia="Times New Roman" w:hAnsi="Lucida Sans Unicode"/>
          <w:b/>
          <w:bCs/>
          <w:color w:val="333333"/>
          <w:sz w:val="32"/>
          <w:szCs w:val="24"/>
          <w:shd w:fill="auto" w:val="clear"/>
          <w:lang w:eastAsia="en-GB" w:val="ru-RU"/>
        </w:rPr>
        <w:t>Внешняя политика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В последние годы Евросоюз внимательно следит за правами детей в своих внешнеполитических отношениях. Например, в декабре 2003 г. были приняты </w:t>
      </w:r>
      <w:hyperlink r:id="rId18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 xml:space="preserve"> «Руководящие положения по вопросам детей в вооруженных конфликтах»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. Офисом Европейской Комиссии по гуманитарной помощи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ECHO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 финансировались проекты в отношении детей (например, продовольствие, вакцинация, начальное образование и реинтеграция детей-солдат), и в своих последних двух ежегодных стратегических планах и руководствах вопрос в области детей получил приоритетное место. Как упоминалось выше, были также профинансированы другие проекты в рамках Европейской инициативы в области демократии и прав человека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EIDHR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). В заключение, почти во всех соглашениях с третьими странами Еврокомиссия включает «пункт о правах человека». Она также включила вопрос о правах человека в качестве условия необходимого для присоединения к Евросоюзу. Государства-кандидаты должны уважать принципы ЕС, распространяющиеся на государства-члены ЕС.</w:t>
      </w:r>
    </w:p>
    <w:p>
      <w:pPr>
        <w:pStyle w:val="style0"/>
        <w:shd w:fill="FFFFFF" w:val="clear"/>
        <w:spacing w:after="0" w:before="0" w:line="360" w:lineRule="atLeast"/>
      </w:pPr>
      <w:r>
        <w:rPr>
          <w:shd w:fill="auto" w:val="clear"/>
        </w:rPr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tLeast"/>
        <w:ind w:hanging="0" w:left="255" w:right="0"/>
      </w:pPr>
      <w:hyperlink r:id="rId19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Заседание Европейского парламента по правам ребенка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(17/04/2007)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Коммюнике</w:t>
      </w:r>
      <w:bookmarkStart w:id="4" w:name="_GoBack"/>
      <w:bookmarkEnd w:id="4"/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Европейской Комиссии: На пути к стратегии ЕС по правам ребенка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(29/01/2007)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tLeast"/>
        <w:ind w:hanging="0" w:left="255" w:right="0"/>
      </w:pPr>
      <w:hyperlink r:id="rId20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Веб-страница ЕВРОНЕТА по стратегии ЕС по правам ребенка</w:t>
        </w:r>
      </w:hyperlink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Доклад: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r:id="rId21">
        <w:r>
          <w:rPr>
            <w:rStyle w:val="style19"/>
            <w:rStyle w:val="style19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Как насчет детей? Права ребенка в Европейском Союзе: следующие шаги.</w:t>
        </w:r>
      </w:hyperlink>
    </w:p>
    <w:p>
      <w:pPr>
        <w:pStyle w:val="style0"/>
        <w:widowControl/>
        <w:tabs>
          <w:tab w:leader="none" w:pos="720" w:val="left"/>
        </w:tabs>
        <w:suppressAutoHyphens w:val="true"/>
        <w:spacing w:after="200" w:before="0" w:line="276" w:lineRule="auto"/>
      </w:pPr>
      <w:r>
        <w:rPr>
          <w:shd w:fill="auto" w:val="clear"/>
        </w:rPr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00000A"/>
      <w:sz w:val="22"/>
      <w:szCs w:val="22"/>
      <w:lang w:bidi="ar-SA" w:eastAsia="en-US" w:val="en-GB"/>
    </w:rPr>
  </w:style>
  <w:style w:styleId="style15" w:type="character">
    <w:name w:val="Default Paragraph Font"/>
    <w:next w:val="style15"/>
    <w:rPr/>
  </w:style>
  <w:style w:styleId="style16" w:type="character">
    <w:name w:val="style2"/>
    <w:basedOn w:val="style15"/>
    <w:next w:val="style16"/>
    <w:rPr/>
  </w:style>
  <w:style w:styleId="style17" w:type="character">
    <w:name w:val="Strong Emphasis"/>
    <w:basedOn w:val="style15"/>
    <w:next w:val="style17"/>
    <w:rPr>
      <w:b/>
      <w:bCs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Internet Link"/>
    <w:basedOn w:val="style15"/>
    <w:next w:val="style19"/>
    <w:rPr>
      <w:color w:val="0000FF"/>
      <w:u w:val="single"/>
      <w:lang w:bidi="en-GB" w:eastAsia="en-GB" w:val="en-GB"/>
    </w:rPr>
  </w:style>
  <w:style w:styleId="style20" w:type="character">
    <w:name w:val="ListLabel 1"/>
    <w:next w:val="style20"/>
    <w:rPr>
      <w:sz w:val="20"/>
    </w:rPr>
  </w:style>
  <w:style w:styleId="style21" w:type="character">
    <w:name w:val="ListLabel 2"/>
    <w:next w:val="style21"/>
    <w:rPr>
      <w:rFonts w:cs="Symbol"/>
      <w:sz w:val="20"/>
    </w:rPr>
  </w:style>
  <w:style w:styleId="style22" w:type="character">
    <w:name w:val="ListLabel 3"/>
    <w:next w:val="style22"/>
    <w:rPr>
      <w:rFonts w:cs="Courier New"/>
      <w:sz w:val="20"/>
    </w:rPr>
  </w:style>
  <w:style w:styleId="style23" w:type="character">
    <w:name w:val="ListLabel 4"/>
    <w:next w:val="style23"/>
    <w:rPr>
      <w:rFonts w:cs="Wingdings"/>
      <w:sz w:val="20"/>
    </w:rPr>
  </w:style>
  <w:style w:styleId="style24" w:type="character">
    <w:name w:val="ListLabel 5"/>
    <w:next w:val="style24"/>
    <w:rPr>
      <w:rFonts w:cs="Symbol"/>
      <w:sz w:val="20"/>
    </w:rPr>
  </w:style>
  <w:style w:styleId="style25" w:type="character">
    <w:name w:val="ListLabel 6"/>
    <w:next w:val="style25"/>
    <w:rPr>
      <w:rFonts w:cs="Courier New"/>
      <w:sz w:val="20"/>
    </w:rPr>
  </w:style>
  <w:style w:styleId="style26" w:type="character">
    <w:name w:val="ListLabel 7"/>
    <w:next w:val="style26"/>
    <w:rPr>
      <w:rFonts w:cs="Wingdings"/>
      <w:sz w:val="20"/>
    </w:rPr>
  </w:style>
  <w:style w:styleId="style27" w:type="paragraph">
    <w:name w:val="Heading"/>
    <w:basedOn w:val="style0"/>
    <w:next w:val="style28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8" w:type="paragraph">
    <w:name w:val="Text body"/>
    <w:basedOn w:val="style0"/>
    <w:next w:val="style28"/>
    <w:pPr>
      <w:spacing w:after="120" w:before="0"/>
    </w:pPr>
    <w:rPr/>
  </w:style>
  <w:style w:styleId="style29" w:type="paragraph">
    <w:name w:val="List"/>
    <w:basedOn w:val="style28"/>
    <w:next w:val="style29"/>
    <w:pPr/>
    <w:rPr>
      <w:rFonts w:cs="Lohit Hindi"/>
    </w:rPr>
  </w:style>
  <w:style w:styleId="style30" w:type="paragraph">
    <w:name w:val="Caption"/>
    <w:basedOn w:val="style0"/>
    <w:next w:val="style3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1" w:type="paragraph">
    <w:name w:val="Index"/>
    <w:basedOn w:val="style0"/>
    <w:next w:val="style31"/>
    <w:pPr>
      <w:suppressLineNumbers/>
    </w:pPr>
    <w:rPr>
      <w:rFonts w:cs="Lohit Hindi"/>
    </w:rPr>
  </w:style>
  <w:style w:styleId="style32" w:type="paragraph">
    <w:name w:val="Normal (Web)"/>
    <w:basedOn w:val="style0"/>
    <w:next w:val="style32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en-GB"/>
    </w:rPr>
  </w:style>
  <w:style w:styleId="style33" w:type="paragraph">
    <w:name w:val="List Paragraph"/>
    <w:basedOn w:val="style0"/>
    <w:next w:val="style33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r-lex.europa.eu/JOHtml.do?uri=OJ:C:2007:306:SOM:EN:HTML" TargetMode="External"/><Relationship Id="rId3" Type="http://schemas.openxmlformats.org/officeDocument/2006/relationships/hyperlink" Target="http://eur-lex.europa.eu/LexUriServ/LexUriServ.do?uri=OJ:C:2007:303:0001:0016:EN:PDF" TargetMode="External"/><Relationship Id="rId4" Type="http://schemas.openxmlformats.org/officeDocument/2006/relationships/hyperlink" Target="http://curia.europa.eu/jurisp/cgi-bin/form.pl?lang=en&amp;newform=newform&amp;jurcdj=jurcdj&amp;alldocrec=alldocrec&amp;docj=docj&amp;docor=docor&amp;docdecision=docdecision&amp;docop=docop&amp;docppoag=docppoag&amp;docav=docav&amp;docsom=docsom&amp;docinf=docinf&amp;alldocnorec=alldocnorec&amp;docnoj=docnoj&amp;docnoor=docnoor&amp;radtypeord=on&amp;typeord=ALL&amp;docnodecision=docnodecision&amp;allcommjo=allcommjo&amp;affint=affint&amp;affclose=affclose&amp;numaff=&amp;ddatefs=&amp;mdatefs=&amp;ydatefs=&amp;ddatefe=&amp;mdatefe=&amp;ydatefe=&amp;nomusuel=&amp;domaine=&amp;mots=charter+of+fundamental+rights+" TargetMode="External"/><Relationship Id="rId5" Type="http://schemas.openxmlformats.org/officeDocument/2006/relationships/hyperlink" Target="http://bookshop.europa.eu/is-bin/INTERSHOP.enfinity/WFS/EU-Bookshop-Site/en_GB/-/EUR/ViewPublication-Start?PublicationKey=QC3209190" TargetMode="External"/><Relationship Id="rId6" Type="http://schemas.openxmlformats.org/officeDocument/2006/relationships/hyperlink" Target="http://europa.eu/index_en.htm" TargetMode="External"/><Relationship Id="rId7" Type="http://schemas.openxmlformats.org/officeDocument/2006/relationships/hyperlink" Target="http://www.coe.int/" TargetMode="External"/><Relationship Id="rId8" Type="http://schemas.openxmlformats.org/officeDocument/2006/relationships/hyperlink" Target="http://www.coe.int/" TargetMode="External"/><Relationship Id="rId9" Type="http://schemas.openxmlformats.org/officeDocument/2006/relationships/hyperlink" Target="http://www.coe.int/lportal/web/coe-portal/what-we-do/human-rights/eu-accession-to-the-convention" TargetMode="External"/><Relationship Id="rId10" Type="http://schemas.openxmlformats.org/officeDocument/2006/relationships/hyperlink" Target="http://www.coe.int/t/dghl/standardsetting/hrpolicy/CDDH-UE/CDDH-UE_documents/EU_accession-QA_2011_en.pdf" TargetMode="External"/><Relationship Id="rId11" Type="http://schemas.openxmlformats.org/officeDocument/2006/relationships/hyperlink" Target="http://eur-lex.europa.eu/LexUriServ/LexUriServ.do?uri=COM:2011:0060:FIN:EN:PDF" TargetMode="External"/><Relationship Id="rId12" Type="http://schemas.openxmlformats.org/officeDocument/2006/relationships/hyperlink" Target="http://eur-lex.europa.eu/LexUriServ/LexUriServ.do?uri=COM:2011:0060:FIN:EN:PDF" TargetMode="External"/><Relationship Id="rId13" Type="http://schemas.openxmlformats.org/officeDocument/2006/relationships/hyperlink" Target="http://ec.europa.eu/justice_home/funding/2004_2007/daphne/funding_daphne_en.htm" TargetMode="External"/><Relationship Id="rId14" Type="http://schemas.openxmlformats.org/officeDocument/2006/relationships/hyperlink" Target="http://ec.europa.eu/justice_home/funding/2004_2007/agis/funding_agis_en.htm" TargetMode="External"/><Relationship Id="rId15" Type="http://schemas.openxmlformats.org/officeDocument/2006/relationships/hyperlink" Target="http://ec.europa.eu/information_society/activities/sip/programme/index_en.htm" TargetMode="External"/><Relationship Id="rId16" Type="http://schemas.openxmlformats.org/officeDocument/2006/relationships/hyperlink" Target="http://ec.europa.eu/europeaid/projects/eidhr/pdf/themes-children-projects_en.pdf" TargetMode="External"/><Relationship Id="rId17" Type="http://schemas.openxmlformats.org/officeDocument/2006/relationships/hyperlink" Target="http://www.nizw.nl/Docs/Internationaal/Jeugd/Kinderrechten/Communication_COM_on_children_rights_-_2nd_inform_ISC_-_Annex_1.doc" TargetMode="External"/><Relationship Id="rId18" Type="http://schemas.openxmlformats.org/officeDocument/2006/relationships/hyperlink" Target="http://ec.europa.eu/external_relations/human_rights/child/caafguidelines.pdf" TargetMode="External"/><Relationship Id="rId19" Type="http://schemas.openxmlformats.org/officeDocument/2006/relationships/hyperlink" Target="http://www.crin.org/resources/infoDetail.asp?ID=13007&amp;flag=event" TargetMode="External"/><Relationship Id="rId20" Type="http://schemas.openxmlformats.org/officeDocument/2006/relationships/hyperlink" Target="http://www.europeanchildrensnetwork.org/euronet/policies_activities/policy.asp?PolicyID=1018" TargetMode="External"/><Relationship Id="rId21" Type="http://schemas.openxmlformats.org/officeDocument/2006/relationships/hyperlink" Target="http://www.ombudsnet.org/enoc/resources/infoDetail.asp?ID=7184&amp;flag=report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2012-06-18T08:41:00.00Z</dcterms:created>
  <dc:creator>Katya</dc:creator>
  <cp:lastModifiedBy>Katya</cp:lastModifiedBy>
  <cp:lastPrinted>2012-06-19T10:21:00.00Z</cp:lastPrinted>
  <dcterms:modified xsi:type="dcterms:W3CDTF">2012-06-20T08:39:00.00Z</dcterms:modified>
  <cp:revision>138</cp:revision>
</cp:coreProperties>
</file>