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0" w:before="0" w:line="100" w:lineRule="atLeast"/>
      </w:pPr>
      <w:r>
        <w:rPr>
          <w:rFonts w:ascii="Georgia" w:cs="Times New Roman" w:eastAsia="Times New Roman" w:hAnsi="Georgia"/>
          <w:b/>
          <w:bCs/>
          <w:color w:val="333333"/>
          <w:sz w:val="31"/>
          <w:szCs w:val="31"/>
          <w:shd w:fill="auto" w:val="clear"/>
          <w:lang w:eastAsia="en-GB" w:val="ru-RU"/>
        </w:rPr>
        <w:t>Что такое Европейский комитет по социальным правам?</w:t>
      </w:r>
    </w:p>
    <w:p>
      <w:pPr>
        <w:pStyle w:val="style0"/>
        <w:shd w:fill="FFFFFF" w:val="clear"/>
        <w:spacing w:after="0" w:before="0" w:line="360" w:lineRule="atLeast"/>
      </w:pPr>
      <w:hyperlink r:id="rId2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Европейский комитет по социальным правам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был создан </w:t>
      </w:r>
      <w:hyperlink w:anchor="twefi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статьей 25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Европейской социальной хартии, чтобы следить за соблюдением государствами-участниками тех прав, которые содержатся в хартии.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hyperlink r:id="rId3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Европейская социальныя хартия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подробно и четко определяет те социальные и экономические права, которые государства-члены Хартии обязаны гарантировать гражданам в пределах своей юрисдикции.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Эта Хартия, принятая в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r:id="rId4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1961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году, пересмотренная в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r:id="rId5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1996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г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и дополненная тремя дополнительными протоколами, была подписана всеми 47 государствами-членами Совета Европы. Действующий список государств-членов, которые ратифицировали Хартию, можно найти на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r:id="rId6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сайте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Совета Европы.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Хартия служит дополнением к </w:t>
      </w:r>
      <w:hyperlink r:id="rId7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Европейской конвенции по правам человека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 которая сосредоточена на гражданских и политических правах, и соблюдение которой контролирует Европейский суд по правам человека.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И Европейский комитет по социальным правам, и Европейский суд по правам человека  подчиняются Комитету министров </w:t>
      </w:r>
      <w:hyperlink r:id="rId8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Совета Европы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.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Европейский комитет по социальным правам состоит из тринадцати независимых экспертов, выбираемых Комитетом министров Совета Европы сроком на шесть лет. Мандатарии могут переизбираться один раз.</w:t>
      </w:r>
    </w:p>
    <w:p>
      <w:pPr>
        <w:pStyle w:val="style0"/>
        <w:shd w:fill="FFFFFF" w:val="clear"/>
        <w:spacing w:after="0" w:before="0" w:line="100" w:lineRule="atLeast"/>
      </w:pPr>
      <w:bookmarkStart w:id="0" w:name="cr"/>
      <w:bookmarkStart w:id="1" w:name="cr"/>
      <w:bookmarkEnd w:id="1"/>
      <w:r>
        <w:rPr>
          <w:shd w:fill="auto" w:val="clear"/>
        </w:rPr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Georgia" w:cs="Times New Roman" w:eastAsia="Times New Roman" w:hAnsi="Georgia"/>
          <w:b/>
          <w:bCs/>
          <w:color w:val="333333"/>
          <w:sz w:val="31"/>
          <w:szCs w:val="31"/>
          <w:shd w:fill="auto" w:val="clear"/>
          <w:lang w:eastAsia="en-GB" w:val="ru-RU"/>
        </w:rPr>
        <w:t>Права ребенка и Европейская социальная хартия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Государства должны принять как минимум шесть  фундаментальных положений Хартии. Это 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on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fiv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5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ix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6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lv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12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hir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13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ix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16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hyperlink w:anchor="nin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19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n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20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. Они также должны согласиться выполнять обязательства в соответствии с рядом других статей или нумерованных параграфов, которые они выбирают. Общее число статей не должно быть меньше 16, а общее число нумерованных параграфов не должно быть меньше 63.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Некоторые права в Хартии относятся к детям отдельно, другие относятся к детям как членам семьи. 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Хартия гарантирует следующие области прав ребенка: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защита до рождения через права беременных женщин (статьи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eigh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8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el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права семьи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ix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16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 </w:t>
      </w:r>
      <w:hyperlink w:anchor="twes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27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 </w:t>
      </w:r>
      <w:hyperlink w:anchor="thirto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31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юридический статус для ребенка (статья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права детей, находящихся в конфликте с законом (статья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медицинское обслуживание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статья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el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11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защита детей от жестокого обращения, насилия и сексуальной эксплуатации, а также защита детей, оставшихся без родительской опеки (статьи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право на образование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10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 </w:t>
      </w:r>
      <w:hyperlink w:anchor="fif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15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, </w:t>
      </w:r>
      <w:hyperlink w:anchor="seve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17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запрет на детский труд (статьи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on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условия на рабочем месте для детей 15-18 лет (статья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)</w:t>
      </w:r>
    </w:p>
    <w:p>
      <w:pPr>
        <w:pStyle w:val="style0"/>
        <w:numPr>
          <w:ilvl w:val="0"/>
          <w:numId w:val="2"/>
        </w:numPr>
        <w:shd w:fill="FFFFFF" w:val="clear"/>
        <w:spacing w:after="0" w:before="0" w:line="360" w:lineRule="atLeast"/>
        <w:ind w:hanging="0" w:left="255" w:right="0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права детей-мигрантов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(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статья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nin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19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) 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Читайте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подробнее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о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правах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ребенка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о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Европейской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социальной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хартии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 xml:space="preserve"> 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здесь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: </w:t>
      </w:r>
      <w:hyperlink r:id="rId9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Данные о правах ребенка в Европейской социальной Хартии</w:t>
        </w:r>
      </w:hyperlink>
      <w:r>
        <w:rPr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/>
        </w:rPr>
        <w:t>(на английском)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.</w:t>
      </w:r>
    </w:p>
    <w:p>
      <w:pPr>
        <w:pStyle w:val="style0"/>
        <w:shd w:fill="FFFFFF" w:val="clear"/>
        <w:spacing w:after="0" w:before="0" w:line="100" w:lineRule="atLeast"/>
      </w:pPr>
      <w:bookmarkStart w:id="2" w:name="mo"/>
      <w:bookmarkStart w:id="3" w:name="mo"/>
      <w:bookmarkEnd w:id="3"/>
      <w:r>
        <w:rPr>
          <w:shd w:fill="auto" w:val="clear"/>
        </w:rPr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Georgia" w:cs="Times New Roman" w:eastAsia="Times New Roman" w:hAnsi="Georgia"/>
          <w:b/>
          <w:bCs/>
          <w:color w:val="333333"/>
          <w:sz w:val="31"/>
          <w:szCs w:val="31"/>
          <w:shd w:fill="auto" w:val="clear"/>
          <w:lang w:eastAsia="en-GB" w:val="ru-RU"/>
        </w:rPr>
        <w:t xml:space="preserve">Как Комитет контролирует соблюдение Европейской социальной хартии? 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Комитет контролирует соблюдение государствами положений Хартии с помощью двух механизмов - системы национальных докладов и системы коллективных жалоб.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b/>
          <w:bCs/>
          <w:color w:val="333333"/>
          <w:szCs w:val="18"/>
          <w:shd w:fill="auto" w:val="clear"/>
          <w:lang w:eastAsia="en-GB" w:val="ru-RU"/>
        </w:rPr>
        <w:t>Система национальных докладов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Комитет разработал новую процедуру подачи докладов для государств-участников Хартии. Эта процедура вступит в силу в октябре 2007 года. В руководящих принципах подготовки национальных докладов установлены меры, необходимые для того, чтобы п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t>ривести законодательство государства в соответствие с положениями Хартии.</w:t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Государства-участники должны подавать доклады Комитету ежегодно (31 октября) по одной из  четырех групп, в которых содержатся положения Хартии. Таким образом каждое государство будет подавать доклад на одну определенную тему каждые четыре года. Эти группы следующие: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1. Трудоустройство, профессиональная подготовка и переподготовка, и равные возможности: 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on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nin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9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10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fif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15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eig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18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n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20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fo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24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fi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25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2. Здоровье, социальное обеспечение и социальная защита: 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hre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3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el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lv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12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hir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13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four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14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th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23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hirty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30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3. Права трудящихся: 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o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four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4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fiv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5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ix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6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o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21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si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26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ei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28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ni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29</w:t>
        </w:r>
      </w:hyperlink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4.</w:t>
      </w:r>
      <w:r>
        <w:rPr>
          <w:rFonts w:ascii="Lucida Sans Unicode" w:cs="Lucida Sans Unicode" w:eastAsia="Times New Roman" w:hAnsi="Lucida Sans Unicode"/>
          <w:b w:val="false"/>
          <w:bCs w:val="fals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b w:val="false"/>
          <w:bCs w:val="false"/>
          <w:color w:val="333333"/>
          <w:szCs w:val="18"/>
          <w:shd w:fill="auto" w:val="clear"/>
          <w:lang w:eastAsia="en-GB" w:val="ru-RU"/>
        </w:rPr>
        <w:t>Дети,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семьи, мигранты: статьи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eigh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8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ix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16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seve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nin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19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wese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27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hyperlink w:anchor="thirton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31</w:t>
        </w:r>
      </w:hyperlink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После рассмотрения Комитетом национальных докладов, Комитет выносит «заключения» о соответствии или несоответствии положений государства с Хартией. Эти заключения доступны для просмотра в </w:t>
      </w:r>
      <w:hyperlink r:id="rId10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/>
          </w:rPr>
          <w:t>ВБазе данных Европейской социальной хартии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.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Доклады, поданные государствами-участниками,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можно найти </w:t>
      </w:r>
      <w:hyperlink r:id="rId11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здесь</w:t>
        </w:r>
      </w:hyperlink>
      <w:r>
        <w:rPr>
          <w:rFonts w:ascii="Lucida Sans Unicode" w:cs="Lucida Sans Unicode" w:eastAsia="Times New Roman" w:hAnsi="Lucida Sans Unicode"/>
          <w:color w:val="365F6D"/>
          <w:szCs w:val="18"/>
          <w:shd w:fill="auto" w:val="clear"/>
          <w:lang w:eastAsia="en-GB" w:val="ru-RU"/>
        </w:rPr>
        <w:t>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b/>
          <w:bCs/>
          <w:color w:val="333333"/>
          <w:szCs w:val="18"/>
          <w:shd w:fill="auto" w:val="clear"/>
          <w:lang w:eastAsia="en-GB" w:val="ru-RU"/>
        </w:rPr>
        <w:br/>
        <w:t>Что следует за заключениями Комитета?</w:t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Правительственный комитет, который состоит из представителей правительств государств-участников, в течение последующих месяцев после публикации заключений следит за тем, чтобы государства устранили свои несоответствия положениям Хартии.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Если Комитет посчитает, что государство-участник не имеет намерений устранять нарушение, государству будет вынесена рекомендация через Комитет министров, требующая от государства принять все необходимые меры по устранению этого несоответствия. 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Правительственный комитет публикует ежегодный доклад по Европейской социальной хартии и представляет его Комитету министров Совета Европы.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b/>
          <w:bCs/>
          <w:color w:val="333333"/>
          <w:szCs w:val="18"/>
          <w:shd w:fill="auto" w:val="clear"/>
          <w:lang w:eastAsia="en-GB" w:val="ru-RU"/>
        </w:rPr>
        <w:t>Система коллективных жалоб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Жалобы о нарушениях прав человека подаются в Европейский комитет по социальным правам согласно </w:t>
      </w:r>
      <w:hyperlink r:id="rId12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Протоколу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, который вступил в силу в 1998 году.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Список государств, которые ратифицировали этот Протокол, можно найти </w:t>
      </w:r>
      <w:hyperlink r:id="rId13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здесь.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Государства также могут признавать право подачи жалоб за национальными неправительственными организациями, однако к настоящему времени это сделала только Финляндия.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Комитет рассматривает жалобу, и если она соответствует определенным критериям, признает ее «допустимой».</w:t>
      </w:r>
    </w:p>
    <w:p>
      <w:pPr>
        <w:pStyle w:val="style0"/>
        <w:shd w:fill="FFFFFF" w:val="clear"/>
        <w:spacing w:after="24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Затем, государство и организация, подавшая жалобу, обмениваются письменными ответами. Комитет также может принять решение о необходимости провести судебную процедуру.</w:t>
      </w:r>
    </w:p>
    <w:p>
      <w:pPr>
        <w:pStyle w:val="style0"/>
        <w:shd w:fill="FFFFFF" w:val="clear"/>
        <w:spacing w:after="24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Затем Комитет выносит решение по делу, которое он передает сторонам-участникам и Комитету министров в форме доклада, который опубликовывают в течение четырех месяцев с момента подачи жалобы. </w:t>
      </w:r>
      <w:r>
        <w:rPr>
          <w:rFonts w:ascii="Lucida Sans Unicode" w:cs="Lucida Sans Unicode" w:eastAsia="Times New Roman" w:hAnsi="Lucida Sans Unicode"/>
          <w:color w:val="404040"/>
          <w:szCs w:val="18"/>
          <w:shd w:fill="auto" w:val="clear"/>
          <w:lang w:eastAsia="en-GB" w:val="ru-RU"/>
        </w:rPr>
        <w:t xml:space="preserve"> </w:t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На заключительном этапе Комитет министров принимает резолюцию. В некоторых случаях государству, в отношении которого была подана жалоба, могут быть вынесены рекомендации о принятии особых мер для приведения сложившейся ситуации в соответствие с положениями Европейской социальной хартии.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</w:p>
    <w:p>
      <w:pPr>
        <w:pStyle w:val="style0"/>
        <w:shd w:fill="FFFFFF" w:val="clear"/>
        <w:spacing w:after="0" w:before="0" w:line="100" w:lineRule="atLeast"/>
      </w:pPr>
      <w:bookmarkStart w:id="4" w:name="ad"/>
      <w:bookmarkEnd w:id="4"/>
      <w:r>
        <w:rPr>
          <w:rFonts w:ascii="Georgia" w:cs="Times New Roman" w:eastAsia="Times New Roman" w:hAnsi="Georgia"/>
          <w:b/>
          <w:bCs/>
          <w:color w:val="333333"/>
          <w:sz w:val="31"/>
          <w:szCs w:val="31"/>
          <w:shd w:fill="auto" w:val="clear"/>
          <w:lang w:eastAsia="en-GB" w:val="ru-RU"/>
        </w:rPr>
        <w:t>Какие нарушения прав ребенка рассматривает Комитет?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Большинство коллективных жалоб о нарушениях прав ребенка связаны с невыполнением государствами своих обязательств запретить телесные наказания в любых условиях в соответствии со </w:t>
      </w:r>
      <w:hyperlink w:anchor="sevet">
        <w:r>
          <w:rPr>
            <w:rStyle w:val="style18"/>
            <w:rStyle w:val="style18"/>
            <w:rFonts w:ascii="Lucida Sans Unicode" w:cs="Lucida Sans Unicode" w:eastAsia="Times New Roman" w:hAnsi="Lucida Sans Unicode"/>
            <w:color w:val="365F6D"/>
            <w:szCs w:val="18"/>
            <w:shd w:fill="auto" w:val="clear"/>
            <w:lang w:eastAsia="en-GB" w:val="ru-RU"/>
          </w:rPr>
          <w:t>статьей 17</w:t>
        </w:r>
      </w:hyperlink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/>
        </w:rPr>
        <w:t> </w:t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Хартии (право детей и молодых людей на социальную, юридическую и экономическую защиту). Португалия, Бельгия, Италия, Греция</w:t>
      </w:r>
      <w:bookmarkStart w:id="5" w:name="_GoBack"/>
      <w:bookmarkEnd w:id="5"/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 xml:space="preserve"> и Ирландия – в отношении всех этих стран были поданы жалобы по этой причине. </w:t>
        <w:br/>
        <w:br/>
      </w:r>
      <w:r>
        <w:rPr>
          <w:rFonts w:ascii="Lucida Sans Unicode" w:cs="Lucida Sans Unicode" w:eastAsia="Times New Roman" w:hAnsi="Lucida Sans Unicode"/>
          <w:color w:val="333333"/>
          <w:szCs w:val="18"/>
          <w:shd w:fill="auto" w:val="clear"/>
          <w:lang w:eastAsia="en-GB" w:val="ru-RU"/>
        </w:rPr>
        <w:t>Другие случаи включают жалобы на недостаток образовательных услуг детям с ограниченными возможностями в Болгарии и Франции, и ограниченный доступ детей к медицинскому обслуживанию во Франции.</w:t>
      </w:r>
    </w:p>
    <w:p>
      <w:pPr>
        <w:pStyle w:val="style0"/>
        <w:spacing w:after="200" w:before="0"/>
      </w:pPr>
      <w:r>
        <w:rPr>
          <w:shd w:fill="auto" w:val="clear"/>
        </w:rPr>
      </w:r>
    </w:p>
    <w:sectPr>
      <w:footerReference r:id="rId14" w:type="default"/>
      <w:type w:val="nextPage"/>
      <w:pgSz w:h="16838" w:w="11906"/>
      <w:pgMar w:bottom="1440" w:footer="708" w:gutter="0" w:header="0" w:left="1440" w:right="1440" w:top="1440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00000A"/>
      <w:sz w:val="22"/>
      <w:szCs w:val="22"/>
      <w:lang w:bidi="ar-SA" w:eastAsia="en-US" w:val="en-GB"/>
    </w:rPr>
  </w:style>
  <w:style w:styleId="style2" w:type="paragraph">
    <w:name w:val="Heading 2"/>
    <w:basedOn w:val="style0"/>
    <w:next w:val="style27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en-GB"/>
    </w:rPr>
  </w:style>
  <w:style w:styleId="style15" w:type="character">
    <w:name w:val="Default Paragraph Font"/>
    <w:next w:val="style15"/>
    <w:rPr/>
  </w:style>
  <w:style w:styleId="style16" w:type="character">
    <w:name w:val="Heading 2 Char"/>
    <w:basedOn w:val="style15"/>
    <w:next w:val="style16"/>
    <w:rPr>
      <w:rFonts w:ascii="Times New Roman" w:cs="Times New Roman" w:eastAsia="Times New Roman" w:hAnsi="Times New Roman"/>
      <w:b/>
      <w:bCs/>
      <w:sz w:val="36"/>
      <w:szCs w:val="36"/>
      <w:lang w:eastAsia="en-GB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Internet Link"/>
    <w:basedOn w:val="style15"/>
    <w:next w:val="style18"/>
    <w:rPr>
      <w:color w:val="0000FF"/>
      <w:u w:val="single"/>
      <w:lang w:bidi="en-GB" w:eastAsia="en-GB" w:val="en-GB"/>
    </w:rPr>
  </w:style>
  <w:style w:styleId="style19" w:type="character">
    <w:name w:val="Strong Emphasis"/>
    <w:basedOn w:val="style15"/>
    <w:next w:val="style19"/>
    <w:rPr>
      <w:b/>
      <w:bCs/>
    </w:rPr>
  </w:style>
  <w:style w:styleId="style20" w:type="character">
    <w:name w:val="Header Char"/>
    <w:basedOn w:val="style15"/>
    <w:next w:val="style20"/>
    <w:rPr/>
  </w:style>
  <w:style w:styleId="style21" w:type="character">
    <w:name w:val="Footer Char"/>
    <w:basedOn w:val="style15"/>
    <w:next w:val="style21"/>
    <w:rPr/>
  </w:style>
  <w:style w:styleId="style22" w:type="character">
    <w:name w:val="ListLabel 1"/>
    <w:next w:val="style22"/>
    <w:rPr>
      <w:sz w:val="20"/>
    </w:rPr>
  </w:style>
  <w:style w:styleId="style23" w:type="character">
    <w:name w:val="ListLabel 2"/>
    <w:next w:val="style23"/>
    <w:rPr>
      <w:rFonts w:cs="Symbol"/>
      <w:sz w:val="20"/>
    </w:rPr>
  </w:style>
  <w:style w:styleId="style24" w:type="character">
    <w:name w:val="ListLabel 3"/>
    <w:next w:val="style24"/>
    <w:rPr>
      <w:rFonts w:cs="Courier New"/>
      <w:sz w:val="20"/>
    </w:rPr>
  </w:style>
  <w:style w:styleId="style25" w:type="character">
    <w:name w:val="ListLabel 4"/>
    <w:next w:val="style25"/>
    <w:rPr>
      <w:rFonts w:cs="Wingdings"/>
      <w:sz w:val="20"/>
    </w:rPr>
  </w:style>
  <w:style w:styleId="style26" w:type="paragraph">
    <w:name w:val="Heading"/>
    <w:basedOn w:val="style0"/>
    <w:next w:val="style2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7" w:type="paragraph">
    <w:name w:val="Text body"/>
    <w:basedOn w:val="style0"/>
    <w:next w:val="style27"/>
    <w:pPr>
      <w:spacing w:after="120" w:before="0"/>
    </w:pPr>
    <w:rPr/>
  </w:style>
  <w:style w:styleId="style28" w:type="paragraph">
    <w:name w:val="List"/>
    <w:basedOn w:val="style27"/>
    <w:next w:val="style28"/>
    <w:pPr/>
    <w:rPr>
      <w:rFonts w:cs="Lohit Hindi"/>
    </w:rPr>
  </w:style>
  <w:style w:styleId="style29" w:type="paragraph">
    <w:name w:val="Caption"/>
    <w:basedOn w:val="style0"/>
    <w:next w:val="style2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0" w:type="paragraph">
    <w:name w:val="Index"/>
    <w:basedOn w:val="style0"/>
    <w:next w:val="style30"/>
    <w:pPr>
      <w:suppressLineNumbers/>
    </w:pPr>
    <w:rPr>
      <w:rFonts w:cs="Lohit Hindi"/>
    </w:rPr>
  </w:style>
  <w:style w:styleId="style31" w:type="paragraph">
    <w:name w:val="Normal (Web)"/>
    <w:basedOn w:val="style0"/>
    <w:next w:val="style31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en-GB"/>
    </w:rPr>
  </w:style>
  <w:style w:styleId="style32" w:type="paragraph">
    <w:name w:val="Header"/>
    <w:basedOn w:val="style0"/>
    <w:next w:val="style32"/>
    <w:pPr>
      <w:suppressLineNumbers/>
      <w:tabs>
        <w:tab w:leader="none" w:pos="4513" w:val="center"/>
        <w:tab w:leader="none" w:pos="9026" w:val="right"/>
      </w:tabs>
      <w:spacing w:after="0" w:before="0" w:line="100" w:lineRule="atLeast"/>
    </w:pPr>
    <w:rPr/>
  </w:style>
  <w:style w:styleId="style33" w:type="paragraph">
    <w:name w:val="Footer"/>
    <w:basedOn w:val="style0"/>
    <w:next w:val="style33"/>
    <w:pPr>
      <w:suppressLineNumbers/>
      <w:tabs>
        <w:tab w:leader="none" w:pos="4513" w:val="center"/>
        <w:tab w:leader="none" w:pos="9026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e.int/T/E/Human_Rights/Esc/2_ECSR_European_Committee_of_Social_Rights/" TargetMode="External"/><Relationship Id="rId3" Type="http://schemas.openxmlformats.org/officeDocument/2006/relationships/hyperlink" Target="http://www.crin.org/Law/instrument.asp?InstID=1081" TargetMode="External"/><Relationship Id="rId4" Type="http://schemas.openxmlformats.org/officeDocument/2006/relationships/hyperlink" Target="http://www.crin.org/Law/instrument.asp?InstID=1080" TargetMode="External"/><Relationship Id="rId5" Type="http://schemas.openxmlformats.org/officeDocument/2006/relationships/hyperlink" Target="http://www.crin.org/Law/instrument.asp?InstID=1081" TargetMode="External"/><Relationship Id="rId6" Type="http://schemas.openxmlformats.org/officeDocument/2006/relationships/hyperlink" Target="http://www.coe.int/t/dghl/monitoring/socialcharter/Presentation/Overview_en.asp" TargetMode="External"/><Relationship Id="rId7" Type="http://schemas.openxmlformats.org/officeDocument/2006/relationships/hyperlink" Target="http://www.crin.org/Law/instrument.asp?InstID=1062" TargetMode="External"/><Relationship Id="rId8" Type="http://schemas.openxmlformats.org/officeDocument/2006/relationships/hyperlink" Target="http://www.crin.org/RM/coe.asp" TargetMode="External"/><Relationship Id="rId9" Type="http://schemas.openxmlformats.org/officeDocument/2006/relationships/hyperlink" Target="http://www.coe.int/t/e/human_rights/esc/7_resources/factsheet_children.pdf" TargetMode="External"/><Relationship Id="rId10" Type="http://schemas.openxmlformats.org/officeDocument/2006/relationships/hyperlink" Target="http://hudoc.esc.coe.int/esc/search/default.asp?mode=esc&amp;language=en&amp;source=co" TargetMode="External"/><Relationship Id="rId11" Type="http://schemas.openxmlformats.org/officeDocument/2006/relationships/hyperlink" Target="http://www.coe.int/t/e/human_rights/esc/3_reporting_procedure/1_State_Reports/" TargetMode="External"/><Relationship Id="rId12" Type="http://schemas.openxmlformats.org/officeDocument/2006/relationships/hyperlink" Target="http://www.crin.org/Law/instrument.asp?InstID=1059" TargetMode="External"/><Relationship Id="rId13" Type="http://schemas.openxmlformats.org/officeDocument/2006/relationships/hyperlink" Target="http://www.coe.int/t/dghl/monitoring/socialcharter/Presentation/Overview_en.asp" TargetMode="Externa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2012-05-30T22:45:00.00Z</dcterms:created>
  <dc:creator>Katya</dc:creator>
  <cp:lastModifiedBy>Katya</cp:lastModifiedBy>
  <cp:lastPrinted>2012-06-19T10:23:00.00Z</cp:lastPrinted>
  <dcterms:modified xsi:type="dcterms:W3CDTF">2012-06-19T11:35:00.00Z</dcterms:modified>
  <cp:revision>101</cp:revision>
</cp:coreProperties>
</file>