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31" w:rsidRPr="00B8523D" w:rsidRDefault="00DE3B31" w:rsidP="00DE3B31">
      <w:pPr>
        <w:rPr>
          <w:b/>
        </w:rPr>
      </w:pPr>
    </w:p>
    <w:p w:rsidR="0001479A" w:rsidRPr="00B8523D" w:rsidRDefault="00977644" w:rsidP="00977644">
      <w:pPr>
        <w:jc w:val="center"/>
        <w:rPr>
          <w:b/>
        </w:rPr>
      </w:pPr>
      <w:r w:rsidRPr="00B8523D">
        <w:rPr>
          <w:b/>
        </w:rPr>
        <w:t xml:space="preserve">Conference and </w:t>
      </w:r>
      <w:r w:rsidR="0001479A" w:rsidRPr="00B8523D">
        <w:rPr>
          <w:b/>
        </w:rPr>
        <w:t xml:space="preserve">Colloquium organised by CMJA and </w:t>
      </w:r>
      <w:r w:rsidRPr="00B8523D">
        <w:rPr>
          <w:b/>
        </w:rPr>
        <w:t>UNICEF held in the Turks and Caicos Islands from 2</w:t>
      </w:r>
      <w:r w:rsidR="009E2A16" w:rsidRPr="00B8523D">
        <w:rPr>
          <w:b/>
        </w:rPr>
        <w:t>6</w:t>
      </w:r>
      <w:r w:rsidRPr="00B8523D">
        <w:rPr>
          <w:b/>
          <w:vertAlign w:val="superscript"/>
        </w:rPr>
        <w:t>th</w:t>
      </w:r>
      <w:r w:rsidRPr="00B8523D">
        <w:rPr>
          <w:b/>
        </w:rPr>
        <w:t xml:space="preserve"> September to </w:t>
      </w:r>
      <w:r w:rsidR="009E2A16" w:rsidRPr="00B8523D">
        <w:rPr>
          <w:b/>
        </w:rPr>
        <w:t>3</w:t>
      </w:r>
      <w:r w:rsidR="009E2A16" w:rsidRPr="00B8523D">
        <w:rPr>
          <w:b/>
          <w:vertAlign w:val="superscript"/>
        </w:rPr>
        <w:t>rd</w:t>
      </w:r>
      <w:r w:rsidR="009E2A16" w:rsidRPr="00B8523D">
        <w:rPr>
          <w:b/>
        </w:rPr>
        <w:t xml:space="preserve"> </w:t>
      </w:r>
      <w:r w:rsidRPr="00B8523D">
        <w:rPr>
          <w:b/>
        </w:rPr>
        <w:t>October 2009</w:t>
      </w:r>
    </w:p>
    <w:p w:rsidR="00A04DA9" w:rsidRDefault="00A04DA9" w:rsidP="00DE3B31">
      <w:r>
        <w:t>Magistrates</w:t>
      </w:r>
      <w:r w:rsidR="00B73FB0">
        <w:t>,</w:t>
      </w:r>
      <w:r w:rsidR="00B8523D">
        <w:t xml:space="preserve"> </w:t>
      </w:r>
      <w:r w:rsidR="00B73FB0">
        <w:t xml:space="preserve">judges and other experts </w:t>
      </w:r>
      <w:r>
        <w:t xml:space="preserve">from </w:t>
      </w:r>
      <w:r w:rsidR="000D74D9">
        <w:t>a number of</w:t>
      </w:r>
      <w:r>
        <w:t xml:space="preserve"> Commonwealth countries gathered </w:t>
      </w:r>
      <w:r w:rsidR="000D74D9">
        <w:t>at a conference in the Caribbean to discuss ‘</w:t>
      </w:r>
      <w:r>
        <w:t>Justice for the Next Generation</w:t>
      </w:r>
      <w:r w:rsidR="0025326B">
        <w:t xml:space="preserve"> </w:t>
      </w:r>
      <w:r>
        <w:t>The Promotion and Protection of Judicial Independence</w:t>
      </w:r>
      <w:r w:rsidR="000D74D9">
        <w:t>’, and ‘</w:t>
      </w:r>
      <w:r>
        <w:t>A Coll</w:t>
      </w:r>
      <w:r w:rsidR="009E2A16">
        <w:t>oquium on the Child and the Law</w:t>
      </w:r>
      <w:r w:rsidR="000D74D9">
        <w:t>’,</w:t>
      </w:r>
      <w:r>
        <w:t xml:space="preserve"> </w:t>
      </w:r>
      <w:r w:rsidR="009E2A16">
        <w:t xml:space="preserve">organised jointly by </w:t>
      </w:r>
      <w:r w:rsidR="00B73FB0">
        <w:t xml:space="preserve">the </w:t>
      </w:r>
      <w:r w:rsidR="009E2A16">
        <w:t>C</w:t>
      </w:r>
      <w:r w:rsidR="00B73FB0">
        <w:t xml:space="preserve">ommonwealth </w:t>
      </w:r>
      <w:r w:rsidR="009E2A16">
        <w:t>M</w:t>
      </w:r>
      <w:r w:rsidR="00B73FB0">
        <w:t xml:space="preserve">agistrates’ and </w:t>
      </w:r>
      <w:r w:rsidR="009E2A16">
        <w:t>J</w:t>
      </w:r>
      <w:r w:rsidR="00B73FB0">
        <w:t>udges’ Association and</w:t>
      </w:r>
      <w:r w:rsidR="009E2A16">
        <w:t xml:space="preserve"> UNICEF.</w:t>
      </w:r>
    </w:p>
    <w:p w:rsidR="009E2A16" w:rsidRDefault="00A04DA9" w:rsidP="00DE3B31">
      <w:r>
        <w:t xml:space="preserve">The </w:t>
      </w:r>
      <w:r w:rsidR="009E2A16">
        <w:t>aims and objectives of the Colloquium were:  to promote greater awareness amongst the magistrates and judges of the Commonwealth, of international treaties and law</w:t>
      </w:r>
      <w:r w:rsidR="0025326B">
        <w:t>s</w:t>
      </w:r>
      <w:r w:rsidR="009E2A16">
        <w:t xml:space="preserve"> relating to the rights of children, and to consider the practical application of that body of law; to enhance networking within the Commonwealth Magistrates’ and Judges’ Association on aspects of the rights of the child; and to develop and strengthen partnership between UNICEF and the CMJA on children’s rights.</w:t>
      </w:r>
    </w:p>
    <w:p w:rsidR="00C27CA6" w:rsidRDefault="009E2A16" w:rsidP="00DE3B31">
      <w:r>
        <w:t xml:space="preserve">The </w:t>
      </w:r>
      <w:r w:rsidR="00A04DA9">
        <w:t xml:space="preserve">topics covered in the Colloquium </w:t>
      </w:r>
      <w:r w:rsidR="00C27CA6">
        <w:t>included discussion on the C</w:t>
      </w:r>
      <w:r w:rsidR="00B73FB0">
        <w:t xml:space="preserve">onvention on the </w:t>
      </w:r>
      <w:r w:rsidR="00C27CA6">
        <w:t>R</w:t>
      </w:r>
      <w:r w:rsidR="00B73FB0">
        <w:t xml:space="preserve">ights of the </w:t>
      </w:r>
      <w:r w:rsidR="00C27CA6">
        <w:t>C</w:t>
      </w:r>
      <w:r w:rsidR="00B73FB0">
        <w:t>hild</w:t>
      </w:r>
      <w:r w:rsidR="00C27CA6">
        <w:t xml:space="preserve"> and other UN instruments and protocols and their implementation at national level. There were also keynote speeches on Child Participation, Children in Armed Conflict and the Effect of Violence on Children, consideration of children as victims and witnesses, restorative justice etc.</w:t>
      </w:r>
    </w:p>
    <w:p w:rsidR="00A95C88" w:rsidRDefault="00A95C88" w:rsidP="00DE3B31">
      <w:r>
        <w:t>Lively discussions took place with participants contributing their own experiences gathered from their respective courts. Many useful suggestions were forthcoming as to how to make the system more child-friendly and how the national laws may be amended in order to make the provisions of the UN instruments more workable and more geared towards providing a beneficial system for children.</w:t>
      </w:r>
    </w:p>
    <w:p w:rsidR="00A95C88" w:rsidRDefault="00A95C88" w:rsidP="00DE3B31">
      <w:r>
        <w:t xml:space="preserve">Details of the papers presented by the delegates are promised to be made available in due course. </w:t>
      </w:r>
    </w:p>
    <w:p w:rsidR="00DE3B31" w:rsidRDefault="00C27CA6" w:rsidP="00DE3B31">
      <w:r>
        <w:t xml:space="preserve"> </w:t>
      </w:r>
      <w:r w:rsidR="00DE3B31">
        <w:t>On the last day of the Colloquium a resolution was placed before the</w:t>
      </w:r>
      <w:r w:rsidR="00977644">
        <w:t xml:space="preserve"> Conference</w:t>
      </w:r>
      <w:r w:rsidR="00DE3B31">
        <w:t>.</w:t>
      </w:r>
      <w:r w:rsidR="00977644">
        <w:t xml:space="preserve"> A number of amendments were suggested from the floor including the addition of Article 12 </w:t>
      </w:r>
      <w:r w:rsidR="00A95C88">
        <w:t xml:space="preserve">in the preamble </w:t>
      </w:r>
      <w:r w:rsidR="00977644">
        <w:t xml:space="preserve">and the inclusion of </w:t>
      </w:r>
      <w:r>
        <w:t xml:space="preserve">provisions for </w:t>
      </w:r>
      <w:r w:rsidR="00977644">
        <w:t xml:space="preserve">disability-sensitive systems in the court procedures. Both these suggested amendments were accepted without much debate and </w:t>
      </w:r>
      <w:r w:rsidR="002B7FE3">
        <w:t xml:space="preserve">were </w:t>
      </w:r>
      <w:r w:rsidR="00977644">
        <w:t xml:space="preserve">readily adopted. </w:t>
      </w:r>
    </w:p>
    <w:p w:rsidR="00977644" w:rsidRDefault="00977644" w:rsidP="00DE3B31">
      <w:r>
        <w:t xml:space="preserve">It was suggested </w:t>
      </w:r>
      <w:r w:rsidR="009625D9">
        <w:t xml:space="preserve">by the delegate from Bangladesh </w:t>
      </w:r>
      <w:r>
        <w:t>that the concept of ‘</w:t>
      </w:r>
      <w:r w:rsidR="00C27CA6">
        <w:t xml:space="preserve">the </w:t>
      </w:r>
      <w:r>
        <w:t xml:space="preserve">best interests of the child’ was </w:t>
      </w:r>
      <w:r w:rsidR="00235487">
        <w:t xml:space="preserve">not </w:t>
      </w:r>
      <w:r w:rsidR="002B7FE3">
        <w:t>receiving due</w:t>
      </w:r>
      <w:r w:rsidR="00235487">
        <w:t xml:space="preserve"> consider</w:t>
      </w:r>
      <w:r w:rsidR="002B7FE3">
        <w:t>ation</w:t>
      </w:r>
      <w:r w:rsidR="00235487">
        <w:t xml:space="preserve"> in criminal cases </w:t>
      </w:r>
      <w:r w:rsidR="00AC1A9D">
        <w:t xml:space="preserve">as mandated by </w:t>
      </w:r>
      <w:r w:rsidR="00235487">
        <w:t xml:space="preserve">Article 3 of the Convention, which </w:t>
      </w:r>
      <w:r w:rsidR="00AC1A9D">
        <w:t xml:space="preserve">provides </w:t>
      </w:r>
      <w:r w:rsidR="00235487">
        <w:t>that</w:t>
      </w:r>
      <w:r w:rsidR="00091222">
        <w:t xml:space="preserve"> </w:t>
      </w:r>
      <w:r w:rsidR="00091222" w:rsidRPr="002B7FE3">
        <w:rPr>
          <w:b/>
        </w:rPr>
        <w:t>‘In all actions concerning children, whether undertaken by public or private social welfare institution</w:t>
      </w:r>
      <w:r w:rsidR="0025326B">
        <w:rPr>
          <w:b/>
        </w:rPr>
        <w:t>s</w:t>
      </w:r>
      <w:r w:rsidR="00091222" w:rsidRPr="002B7FE3">
        <w:rPr>
          <w:b/>
        </w:rPr>
        <w:t xml:space="preserve">, </w:t>
      </w:r>
      <w:r w:rsidR="00091222" w:rsidRPr="002B7FE3">
        <w:rPr>
          <w:b/>
          <w:i/>
          <w:sz w:val="24"/>
        </w:rPr>
        <w:t>courts of law</w:t>
      </w:r>
      <w:r w:rsidR="00091222" w:rsidRPr="002B7FE3">
        <w:rPr>
          <w:b/>
        </w:rPr>
        <w:t xml:space="preserve">, administrative authorities or legislative bodies, </w:t>
      </w:r>
      <w:r w:rsidR="00235487" w:rsidRPr="002B7FE3">
        <w:rPr>
          <w:b/>
        </w:rPr>
        <w:t xml:space="preserve">the best interests of the child shall be a </w:t>
      </w:r>
      <w:r w:rsidR="00091222" w:rsidRPr="002B7FE3">
        <w:rPr>
          <w:b/>
        </w:rPr>
        <w:t xml:space="preserve">primary </w:t>
      </w:r>
      <w:r w:rsidR="00235487" w:rsidRPr="002B7FE3">
        <w:rPr>
          <w:b/>
        </w:rPr>
        <w:t>consideration</w:t>
      </w:r>
      <w:r w:rsidR="00091222" w:rsidRPr="002B7FE3">
        <w:rPr>
          <w:b/>
        </w:rPr>
        <w:t>.</w:t>
      </w:r>
      <w:r w:rsidR="00235487" w:rsidRPr="002B7FE3">
        <w:rPr>
          <w:b/>
        </w:rPr>
        <w:t xml:space="preserve"> </w:t>
      </w:r>
      <w:r w:rsidR="002B7FE3">
        <w:rPr>
          <w:b/>
        </w:rPr>
        <w:t>‘</w:t>
      </w:r>
    </w:p>
    <w:p w:rsidR="00091222" w:rsidRDefault="00091222" w:rsidP="00DE3B31">
      <w:r>
        <w:t xml:space="preserve">There ensued a heated debate. Honourable Judges from England, Scotland, Australia and New Zealand argued that in criminal cases the best interests of the child cannot be paramount as that would </w:t>
      </w:r>
      <w:r w:rsidR="009625D9">
        <w:t xml:space="preserve">undermine </w:t>
      </w:r>
      <w:r>
        <w:t xml:space="preserve">the rights of the victim </w:t>
      </w:r>
      <w:r w:rsidR="0025326B">
        <w:t xml:space="preserve">and </w:t>
      </w:r>
      <w:r>
        <w:t xml:space="preserve">be detrimental to the protection of society. </w:t>
      </w:r>
      <w:r w:rsidR="002B7FE3">
        <w:t>It was argued that it would not be possible to incorporate the concept in the criminal justice systems of those countries. On the other hand, one P</w:t>
      </w:r>
      <w:r>
        <w:t>rofessor from an English university and a Research Fellow, also from an English university su</w:t>
      </w:r>
      <w:r w:rsidR="00B8523D">
        <w:t xml:space="preserve">pported the amendment. They suggested that Article 3 of the CRC </w:t>
      </w:r>
      <w:r w:rsidR="00B8523D">
        <w:lastRenderedPageBreak/>
        <w:t xml:space="preserve">required that the best interests of the child shall be </w:t>
      </w:r>
      <w:r w:rsidR="00B8523D" w:rsidRPr="009625D9">
        <w:rPr>
          <w:b/>
        </w:rPr>
        <w:t>‘a primary consideration’</w:t>
      </w:r>
      <w:r w:rsidR="00B8523D">
        <w:t xml:space="preserve"> and not </w:t>
      </w:r>
      <w:r w:rsidR="00B8523D" w:rsidRPr="009625D9">
        <w:rPr>
          <w:b/>
        </w:rPr>
        <w:t>‘the paramount consideration.’</w:t>
      </w:r>
      <w:r w:rsidR="00B8523D">
        <w:t xml:space="preserve"> </w:t>
      </w:r>
      <w:r w:rsidR="002B7FE3">
        <w:t>The motion for the amendment was carried.</w:t>
      </w:r>
    </w:p>
    <w:p w:rsidR="002B7FE3" w:rsidRDefault="002B7FE3" w:rsidP="00DE3B31">
      <w:r>
        <w:t xml:space="preserve">Personally, I feel that the inclusion of ‘the best interests of the child’ in the criminal justice system to be a primary consideration is necessary to fulfil the mandate of Article 3 of the CRC. Moreover, we should not forget our obligations towards </w:t>
      </w:r>
      <w:r w:rsidR="00D84C35">
        <w:t xml:space="preserve">our </w:t>
      </w:r>
      <w:r>
        <w:t xml:space="preserve">children simply because they are alleged to have committed a more serious crime. </w:t>
      </w:r>
      <w:r w:rsidR="009A2B2F">
        <w:t xml:space="preserve">We must at all times remember that children are not born criminals and that they find themselves in the sometimes </w:t>
      </w:r>
      <w:r w:rsidR="00F56D93">
        <w:t>inextric</w:t>
      </w:r>
      <w:r w:rsidR="009A2B2F">
        <w:t xml:space="preserve">able cycle of crime due to lack of necessary provisions and proper guidance. </w:t>
      </w:r>
      <w:r w:rsidR="009625D9">
        <w:t xml:space="preserve">A careful consideration of the background of the child would probably disclose that he is a victim of poverty/broken family </w:t>
      </w:r>
      <w:r w:rsidR="00881A1B">
        <w:t xml:space="preserve">or exposure to violence and neglect </w:t>
      </w:r>
      <w:r w:rsidR="009625D9">
        <w:t xml:space="preserve">and has been and is in need of care and protection. </w:t>
      </w:r>
      <w:r w:rsidR="009A2B2F">
        <w:t xml:space="preserve">Certainly, we must balance the interests of the victim as well as that of society which is required to be protected. </w:t>
      </w:r>
      <w:r w:rsidR="00D84C35">
        <w:t xml:space="preserve">In a way these are competing interests. </w:t>
      </w:r>
      <w:r w:rsidR="009A2B2F">
        <w:t>However, the best interests of the child must also be one of our primary considerations.</w:t>
      </w:r>
      <w:r w:rsidR="00D84C35">
        <w:t xml:space="preserve"> For example, the consideration as to how the accused child may be diverted from the criminal justice system or how best he may be dealt with other than incarceration are in themselves consideration</w:t>
      </w:r>
      <w:r w:rsidR="0025326B">
        <w:t>s</w:t>
      </w:r>
      <w:r w:rsidR="00D84C35">
        <w:t xml:space="preserve"> of the best interests of the child. As such keeping </w:t>
      </w:r>
      <w:r w:rsidR="00D1206A">
        <w:t xml:space="preserve">within our sights </w:t>
      </w:r>
      <w:r w:rsidR="00D84C35">
        <w:t xml:space="preserve">the best interests of the child as a primary consideration is not too difficult. No doubt learned Magistrates and Judges also bear in mind that sending a child to detention or jail custody does not necessarily guarantee that he will not reoffend. </w:t>
      </w:r>
      <w:r w:rsidR="00D1206A">
        <w:t xml:space="preserve"> </w:t>
      </w:r>
      <w:r w:rsidR="00881A1B">
        <w:t xml:space="preserve">On the other hand, engaging </w:t>
      </w:r>
      <w:r w:rsidR="002808BC">
        <w:t xml:space="preserve">a youthful offender in dialogue during the course of trial </w:t>
      </w:r>
      <w:r w:rsidR="00881A1B">
        <w:t xml:space="preserve">or confronting him with the victim </w:t>
      </w:r>
      <w:r w:rsidR="002808BC">
        <w:t xml:space="preserve">may lead to a realisation in him that he also owes a duty to society and the victim and may divert him from further crime. </w:t>
      </w:r>
      <w:r w:rsidR="00552290">
        <w:t xml:space="preserve">The benefits of restorative justice should not be brushed aside simply because the offence committed is a serious one.  </w:t>
      </w:r>
      <w:r w:rsidR="002808BC">
        <w:t xml:space="preserve">Youthful offenders should not as a matter of course be exposed to the rigorous criminal justice system reserved for adults simply because they have committed a serious offence. </w:t>
      </w:r>
      <w:r w:rsidR="00364282">
        <w:t xml:space="preserve">Magistrates and </w:t>
      </w:r>
      <w:r w:rsidR="00D1206A">
        <w:t>Judges must be able to retain for themselves the discretion to consider what is in the best interests of a child accused of having committed an</w:t>
      </w:r>
      <w:r w:rsidR="002808BC">
        <w:t>y</w:t>
      </w:r>
      <w:r w:rsidR="00D1206A">
        <w:t xml:space="preserve"> offence.</w:t>
      </w:r>
    </w:p>
    <w:p w:rsidR="00D1206A" w:rsidRDefault="00D1206A" w:rsidP="00DE3B31">
      <w:r>
        <w:t>Needless to say, I was pleased with the outcome of the debate.</w:t>
      </w:r>
    </w:p>
    <w:p w:rsidR="00B8523D" w:rsidRPr="00FF1702" w:rsidRDefault="00B8523D" w:rsidP="00DE3B31">
      <w:r>
        <w:t>The meeting ended with the following resolutions being passed:</w:t>
      </w:r>
    </w:p>
    <w:p w:rsidR="00DB346D" w:rsidRPr="00CF5B7D" w:rsidRDefault="00DB346D" w:rsidP="00CF5B7D">
      <w:pPr>
        <w:spacing w:line="240" w:lineRule="auto"/>
        <w:jc w:val="center"/>
        <w:rPr>
          <w:b/>
        </w:rPr>
      </w:pPr>
      <w:r w:rsidRPr="00CF5B7D">
        <w:rPr>
          <w:b/>
        </w:rPr>
        <w:t>The Providenciales Resolution on Justice for the Next Generation</w:t>
      </w:r>
    </w:p>
    <w:p w:rsidR="00DB346D" w:rsidRPr="00CF5B7D" w:rsidRDefault="00DB346D" w:rsidP="00CF5B7D">
      <w:pPr>
        <w:spacing w:line="240" w:lineRule="auto"/>
        <w:jc w:val="center"/>
        <w:rPr>
          <w:b/>
        </w:rPr>
      </w:pPr>
      <w:r w:rsidRPr="00CF5B7D">
        <w:rPr>
          <w:b/>
        </w:rPr>
        <w:t>The Promotion and Protection of the Rights of Children in contact with the Law</w:t>
      </w:r>
    </w:p>
    <w:p w:rsidR="00FF1702" w:rsidRDefault="00DB346D" w:rsidP="00CF5B7D">
      <w:pPr>
        <w:spacing w:before="240"/>
      </w:pPr>
      <w:r>
        <w:t>We, the Commonwealth Magistrates</w:t>
      </w:r>
      <w:r w:rsidR="00CF5B7D">
        <w:t>’</w:t>
      </w:r>
      <w:r>
        <w:t xml:space="preserve"> and Judges</w:t>
      </w:r>
      <w:r w:rsidR="00CF5B7D">
        <w:t>’</w:t>
      </w:r>
      <w:r>
        <w:t xml:space="preserve"> Association</w:t>
      </w:r>
      <w:r w:rsidR="00FF1702">
        <w:t xml:space="preserve"> and United Nations Children's Fund on the occasion of the Colloquium on the Child and the Law in Providenciales, Turks and Caicos Islands, 1 </w:t>
      </w:r>
      <w:r w:rsidR="00CF5B7D">
        <w:t>-</w:t>
      </w:r>
      <w:r w:rsidR="00FF1702">
        <w:t xml:space="preserve"> 2 October 2009,</w:t>
      </w:r>
    </w:p>
    <w:p w:rsidR="00FF1702" w:rsidRDefault="00FF1702">
      <w:r>
        <w:rPr>
          <w:b/>
          <w:i/>
        </w:rPr>
        <w:t xml:space="preserve"> Recalling</w:t>
      </w:r>
      <w:r>
        <w:t xml:space="preserve"> the Universal Declaration of Human Rights, the International </w:t>
      </w:r>
      <w:r w:rsidR="00CF5B7D">
        <w:t>C</w:t>
      </w:r>
      <w:r>
        <w:t xml:space="preserve">ovenant on Civil and Political Rights and the Convention on the Rights of the Child, and especially </w:t>
      </w:r>
      <w:r w:rsidR="0025326B">
        <w:t>i</w:t>
      </w:r>
      <w:r>
        <w:t xml:space="preserve">ts </w:t>
      </w:r>
      <w:r w:rsidR="003A7802">
        <w:t>a</w:t>
      </w:r>
      <w:r>
        <w:t xml:space="preserve">rticles 3, </w:t>
      </w:r>
      <w:r w:rsidR="00A2693C" w:rsidRPr="00A2693C">
        <w:rPr>
          <w:b/>
          <w:i/>
        </w:rPr>
        <w:t>[</w:t>
      </w:r>
      <w:r w:rsidR="003A7802" w:rsidRPr="00A2693C">
        <w:rPr>
          <w:b/>
          <w:i/>
        </w:rPr>
        <w:t>12</w:t>
      </w:r>
      <w:r w:rsidR="00A2693C">
        <w:rPr>
          <w:b/>
          <w:i/>
        </w:rPr>
        <w:t>]</w:t>
      </w:r>
      <w:r w:rsidR="00A2693C">
        <w:rPr>
          <w:rStyle w:val="FootnoteReference"/>
        </w:rPr>
        <w:footnoteReference w:id="2"/>
      </w:r>
      <w:r w:rsidR="003A7802">
        <w:t xml:space="preserve">, </w:t>
      </w:r>
      <w:r>
        <w:t>37, 39 and 40,</w:t>
      </w:r>
    </w:p>
    <w:p w:rsidR="00FF1702" w:rsidRPr="003A7802" w:rsidRDefault="00FF1702">
      <w:pPr>
        <w:rPr>
          <w:b/>
          <w:i/>
        </w:rPr>
      </w:pPr>
      <w:r w:rsidRPr="003A7802">
        <w:rPr>
          <w:b/>
          <w:i/>
        </w:rPr>
        <w:t>AND NOTING</w:t>
      </w:r>
    </w:p>
    <w:p w:rsidR="00FF1702" w:rsidRDefault="00FF1702">
      <w:pPr>
        <w:rPr>
          <w:b/>
        </w:rPr>
      </w:pPr>
      <w:r>
        <w:lastRenderedPageBreak/>
        <w:t xml:space="preserve">-other International Standards and Norms in crime prevention, criminal justice and the administration of justice for </w:t>
      </w:r>
      <w:r w:rsidRPr="00FF1702">
        <w:rPr>
          <w:b/>
        </w:rPr>
        <w:t>Juveniles and children</w:t>
      </w:r>
      <w:r>
        <w:rPr>
          <w:b/>
        </w:rPr>
        <w:t>,</w:t>
      </w:r>
    </w:p>
    <w:p w:rsidR="00FF1702" w:rsidRDefault="00FF1702">
      <w:r>
        <w:t>-the specific vulnerability of the child to abuse, exploitation, violence and other violations of their rights while in contact with the law, in particular while deprived of their liberty,</w:t>
      </w:r>
    </w:p>
    <w:p w:rsidR="00FF1702" w:rsidRDefault="00FF1702">
      <w:r>
        <w:t>-the need to promote and protect the rights of all children in contact with the law.</w:t>
      </w:r>
    </w:p>
    <w:p w:rsidR="00CF5B7D" w:rsidRDefault="00FF1702" w:rsidP="00FF1702">
      <w:pPr>
        <w:pStyle w:val="ListParagraph"/>
        <w:numPr>
          <w:ilvl w:val="0"/>
          <w:numId w:val="1"/>
        </w:numPr>
      </w:pPr>
      <w:r w:rsidRPr="003A7802">
        <w:rPr>
          <w:b/>
        </w:rPr>
        <w:t>Urge</w:t>
      </w:r>
      <w:r>
        <w:t xml:space="preserve"> the Government</w:t>
      </w:r>
      <w:r w:rsidR="003A7802">
        <w:t>s</w:t>
      </w:r>
      <w:r>
        <w:t xml:space="preserve"> of the Commonwealth to take urgent steps to introduce and implement child justice systems in line with International Standards</w:t>
      </w:r>
      <w:r w:rsidR="00CF5B7D">
        <w:t xml:space="preserve"> as established through the United Nations.</w:t>
      </w:r>
    </w:p>
    <w:p w:rsidR="00CF5B7D" w:rsidRDefault="00CF5B7D" w:rsidP="00FF1702">
      <w:pPr>
        <w:pStyle w:val="ListParagraph"/>
        <w:numPr>
          <w:ilvl w:val="0"/>
          <w:numId w:val="1"/>
        </w:numPr>
      </w:pPr>
      <w:r>
        <w:t xml:space="preserve">Commit to encouraging, in co-operation, governments and judiciaries across the Commonwealth in the establishment and enhancement of child-sensitive and gender </w:t>
      </w:r>
      <w:r w:rsidR="003A7802">
        <w:t xml:space="preserve">and </w:t>
      </w:r>
      <w:r w:rsidR="00A2693C" w:rsidRPr="00A2693C">
        <w:rPr>
          <w:b/>
          <w:i/>
        </w:rPr>
        <w:t>[</w:t>
      </w:r>
      <w:r w:rsidR="003A7802" w:rsidRPr="00A2693C">
        <w:rPr>
          <w:b/>
          <w:i/>
        </w:rPr>
        <w:t>disability sensitive</w:t>
      </w:r>
      <w:r w:rsidR="00A2693C">
        <w:rPr>
          <w:b/>
          <w:i/>
        </w:rPr>
        <w:t>]</w:t>
      </w:r>
      <w:r w:rsidR="003A7802">
        <w:t xml:space="preserve"> </w:t>
      </w:r>
      <w:r w:rsidR="00A2693C">
        <w:rPr>
          <w:rStyle w:val="FootnoteReference"/>
        </w:rPr>
        <w:footnoteReference w:id="3"/>
      </w:r>
      <w:r>
        <w:t>child justice systems in line with international standards through:</w:t>
      </w:r>
    </w:p>
    <w:p w:rsidR="00CF5B7D" w:rsidRDefault="00CF5B7D" w:rsidP="00CF5B7D">
      <w:pPr>
        <w:pStyle w:val="ListParagraph"/>
        <w:numPr>
          <w:ilvl w:val="0"/>
          <w:numId w:val="3"/>
        </w:numPr>
      </w:pPr>
      <w:r>
        <w:t xml:space="preserve">the development and promotion of </w:t>
      </w:r>
      <w:r w:rsidR="003A7802">
        <w:t>court procedures which are child-appropriate and gender and disability</w:t>
      </w:r>
      <w:r w:rsidR="00B8523D">
        <w:t>-</w:t>
      </w:r>
      <w:r w:rsidR="00977644">
        <w:t>sensitive</w:t>
      </w:r>
      <w:r>
        <w:t>;</w:t>
      </w:r>
    </w:p>
    <w:p w:rsidR="00CF5B7D" w:rsidRDefault="00CF5B7D" w:rsidP="00CF5B7D">
      <w:pPr>
        <w:pStyle w:val="ListParagraph"/>
        <w:numPr>
          <w:ilvl w:val="0"/>
          <w:numId w:val="3"/>
        </w:numPr>
      </w:pPr>
      <w:r>
        <w:t xml:space="preserve">the systematic use of child rights principles, including </w:t>
      </w:r>
      <w:r w:rsidR="003A7802">
        <w:t xml:space="preserve">as a </w:t>
      </w:r>
      <w:r>
        <w:t>primary consideration the best interests of the child in the administration of justice</w:t>
      </w:r>
      <w:r w:rsidR="003A7802">
        <w:t>,</w:t>
      </w:r>
      <w:r w:rsidR="00A2693C">
        <w:rPr>
          <w:b/>
          <w:i/>
        </w:rPr>
        <w:t>[</w:t>
      </w:r>
      <w:r w:rsidR="003A7802" w:rsidRPr="00A2693C">
        <w:rPr>
          <w:b/>
          <w:i/>
        </w:rPr>
        <w:t xml:space="preserve">both civil and </w:t>
      </w:r>
      <w:r w:rsidR="00431F03">
        <w:rPr>
          <w:b/>
          <w:i/>
        </w:rPr>
        <w:t>crimina</w:t>
      </w:r>
      <w:r w:rsidR="003A7802" w:rsidRPr="00A2693C">
        <w:rPr>
          <w:b/>
          <w:i/>
        </w:rPr>
        <w:t>l</w:t>
      </w:r>
      <w:r w:rsidR="00A2693C">
        <w:rPr>
          <w:b/>
          <w:i/>
        </w:rPr>
        <w:t>]</w:t>
      </w:r>
      <w:r w:rsidR="00A2693C">
        <w:rPr>
          <w:rStyle w:val="FootnoteReference"/>
          <w:b/>
          <w:i/>
        </w:rPr>
        <w:footnoteReference w:id="4"/>
      </w:r>
      <w:r>
        <w:t>;</w:t>
      </w:r>
    </w:p>
    <w:p w:rsidR="00CF5B7D" w:rsidRDefault="00CF5B7D" w:rsidP="00CF5B7D">
      <w:pPr>
        <w:pStyle w:val="ListParagraph"/>
        <w:numPr>
          <w:ilvl w:val="0"/>
          <w:numId w:val="3"/>
        </w:numPr>
      </w:pPr>
      <w:r>
        <w:t xml:space="preserve">the use of deprivation of liberty of </w:t>
      </w:r>
      <w:r w:rsidR="00AE1A44">
        <w:t>children</w:t>
      </w:r>
      <w:r>
        <w:t xml:space="preserve"> only as a measure of last resort </w:t>
      </w:r>
      <w:r w:rsidR="00B8523D">
        <w:t>–</w:t>
      </w:r>
      <w:r>
        <w:t xml:space="preserve"> </w:t>
      </w:r>
      <w:r w:rsidR="00B8523D" w:rsidRPr="00B8523D">
        <w:rPr>
          <w:b/>
          <w:i/>
        </w:rPr>
        <w:t>[</w:t>
      </w:r>
      <w:r w:rsidRPr="00B8523D">
        <w:rPr>
          <w:b/>
          <w:i/>
        </w:rPr>
        <w:t>and</w:t>
      </w:r>
      <w:r w:rsidR="003A7802" w:rsidRPr="00B8523D">
        <w:rPr>
          <w:b/>
          <w:i/>
        </w:rPr>
        <w:t xml:space="preserve"> for the shortest possible time</w:t>
      </w:r>
      <w:r w:rsidR="00B8523D" w:rsidRPr="00B8523D">
        <w:rPr>
          <w:b/>
          <w:i/>
        </w:rPr>
        <w:t>]</w:t>
      </w:r>
      <w:r w:rsidR="00B8523D">
        <w:rPr>
          <w:rStyle w:val="FootnoteReference"/>
          <w:b/>
          <w:i/>
        </w:rPr>
        <w:footnoteReference w:id="5"/>
      </w:r>
      <w:r w:rsidR="003A7802">
        <w:t>.</w:t>
      </w:r>
    </w:p>
    <w:p w:rsidR="003A7802" w:rsidRPr="003A7802" w:rsidRDefault="003A7802" w:rsidP="003A7802">
      <w:pPr>
        <w:ind w:left="360"/>
        <w:rPr>
          <w:b/>
        </w:rPr>
      </w:pPr>
      <w:r w:rsidRPr="003A7802">
        <w:rPr>
          <w:b/>
        </w:rPr>
        <w:t>Providenciales,</w:t>
      </w:r>
    </w:p>
    <w:p w:rsidR="003A7802" w:rsidRPr="003A7802" w:rsidRDefault="003A7802" w:rsidP="003A7802">
      <w:pPr>
        <w:ind w:left="360"/>
        <w:rPr>
          <w:b/>
        </w:rPr>
      </w:pPr>
      <w:r w:rsidRPr="003A7802">
        <w:rPr>
          <w:b/>
        </w:rPr>
        <w:t>Turks and Caicos Islands, 2 October 2009</w:t>
      </w:r>
    </w:p>
    <w:p w:rsidR="00DE3B31" w:rsidRDefault="00DE3B31"/>
    <w:p w:rsidR="00573E1B" w:rsidRDefault="00573E1B" w:rsidP="00797A0F">
      <w:pPr>
        <w:spacing w:line="240" w:lineRule="auto"/>
      </w:pPr>
      <w:r>
        <w:t xml:space="preserve">It was mentioned that the grammatical construction of the resolution passed may be </w:t>
      </w:r>
      <w:r w:rsidR="00797A0F">
        <w:t>corrected</w:t>
      </w:r>
      <w:r>
        <w:t xml:space="preserve"> later.</w:t>
      </w:r>
    </w:p>
    <w:p w:rsidR="00797A0F" w:rsidRDefault="00797A0F" w:rsidP="00797A0F">
      <w:pPr>
        <w:spacing w:line="240" w:lineRule="auto"/>
      </w:pPr>
    </w:p>
    <w:p w:rsidR="00797A0F" w:rsidRDefault="00797A0F" w:rsidP="00797A0F">
      <w:pPr>
        <w:spacing w:line="240" w:lineRule="auto"/>
      </w:pPr>
      <w:r>
        <w:t>Justice M Imman Ali</w:t>
      </w:r>
    </w:p>
    <w:p w:rsidR="00797A0F" w:rsidRDefault="00797A0F" w:rsidP="00797A0F">
      <w:pPr>
        <w:spacing w:line="240" w:lineRule="auto"/>
      </w:pPr>
      <w:r>
        <w:t>High Court Division</w:t>
      </w:r>
    </w:p>
    <w:p w:rsidR="00797A0F" w:rsidRPr="00573E1B" w:rsidRDefault="00797A0F" w:rsidP="00797A0F">
      <w:pPr>
        <w:spacing w:line="240" w:lineRule="auto"/>
      </w:pPr>
      <w:r>
        <w:t>Supreme Court of Bangladesh</w:t>
      </w:r>
    </w:p>
    <w:sectPr w:rsidR="00797A0F" w:rsidRPr="00573E1B" w:rsidSect="007053C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1F7" w:rsidRDefault="008B41F7" w:rsidP="00A2693C">
      <w:pPr>
        <w:spacing w:after="0" w:line="240" w:lineRule="auto"/>
      </w:pPr>
      <w:r>
        <w:separator/>
      </w:r>
    </w:p>
  </w:endnote>
  <w:endnote w:type="continuationSeparator" w:id="1">
    <w:p w:rsidR="008B41F7" w:rsidRDefault="008B41F7" w:rsidP="00A26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1F7" w:rsidRDefault="008B41F7" w:rsidP="00A2693C">
      <w:pPr>
        <w:spacing w:after="0" w:line="240" w:lineRule="auto"/>
      </w:pPr>
      <w:r>
        <w:separator/>
      </w:r>
    </w:p>
  </w:footnote>
  <w:footnote w:type="continuationSeparator" w:id="1">
    <w:p w:rsidR="008B41F7" w:rsidRDefault="008B41F7" w:rsidP="00A2693C">
      <w:pPr>
        <w:spacing w:after="0" w:line="240" w:lineRule="auto"/>
      </w:pPr>
      <w:r>
        <w:continuationSeparator/>
      </w:r>
    </w:p>
  </w:footnote>
  <w:footnote w:id="2">
    <w:p w:rsidR="00A2693C" w:rsidRDefault="00A2693C">
      <w:pPr>
        <w:pStyle w:val="FootnoteText"/>
      </w:pPr>
      <w:r>
        <w:rPr>
          <w:rStyle w:val="FootnoteReference"/>
        </w:rPr>
        <w:footnoteRef/>
      </w:r>
      <w:r>
        <w:t xml:space="preserve"> Added without debate or objection</w:t>
      </w:r>
    </w:p>
  </w:footnote>
  <w:footnote w:id="3">
    <w:p w:rsidR="00A2693C" w:rsidRDefault="00A2693C">
      <w:pPr>
        <w:pStyle w:val="FootnoteText"/>
      </w:pPr>
      <w:r>
        <w:rPr>
          <w:rStyle w:val="FootnoteReference"/>
        </w:rPr>
        <w:footnoteRef/>
      </w:r>
      <w:r>
        <w:t xml:space="preserve"> Added without debate or objection</w:t>
      </w:r>
    </w:p>
  </w:footnote>
  <w:footnote w:id="4">
    <w:p w:rsidR="00A2693C" w:rsidRDefault="00A2693C">
      <w:pPr>
        <w:pStyle w:val="FootnoteText"/>
      </w:pPr>
      <w:r>
        <w:rPr>
          <w:rStyle w:val="FootnoteReference"/>
        </w:rPr>
        <w:footnoteRef/>
      </w:r>
      <w:r>
        <w:t xml:space="preserve"> Added after much debate</w:t>
      </w:r>
    </w:p>
  </w:footnote>
  <w:footnote w:id="5">
    <w:p w:rsidR="00B8523D" w:rsidRDefault="00B8523D">
      <w:pPr>
        <w:pStyle w:val="FootnoteText"/>
      </w:pPr>
      <w:r>
        <w:rPr>
          <w:rStyle w:val="FootnoteReference"/>
        </w:rPr>
        <w:footnoteRef/>
      </w:r>
      <w:r>
        <w:t xml:space="preserve"> Initially motioned to be deleted, but later decided to be retained after reference to Article 37(b) of the CRC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A59"/>
    <w:multiLevelType w:val="hybridMultilevel"/>
    <w:tmpl w:val="D970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985633"/>
    <w:multiLevelType w:val="hybridMultilevel"/>
    <w:tmpl w:val="5C048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DF5153C"/>
    <w:multiLevelType w:val="hybridMultilevel"/>
    <w:tmpl w:val="5ADE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346D"/>
    <w:rsid w:val="0001479A"/>
    <w:rsid w:val="00062D6D"/>
    <w:rsid w:val="00091222"/>
    <w:rsid w:val="000D74D9"/>
    <w:rsid w:val="00235487"/>
    <w:rsid w:val="0025326B"/>
    <w:rsid w:val="002808BC"/>
    <w:rsid w:val="002B7FE3"/>
    <w:rsid w:val="00364282"/>
    <w:rsid w:val="003A7802"/>
    <w:rsid w:val="00431F03"/>
    <w:rsid w:val="00510D18"/>
    <w:rsid w:val="00552290"/>
    <w:rsid w:val="00573E1B"/>
    <w:rsid w:val="007053C1"/>
    <w:rsid w:val="00797A0F"/>
    <w:rsid w:val="007A609C"/>
    <w:rsid w:val="007B2646"/>
    <w:rsid w:val="00881A1B"/>
    <w:rsid w:val="008B41F7"/>
    <w:rsid w:val="008F6DBE"/>
    <w:rsid w:val="009305F9"/>
    <w:rsid w:val="009625D9"/>
    <w:rsid w:val="00977644"/>
    <w:rsid w:val="009A2B2F"/>
    <w:rsid w:val="009E2A16"/>
    <w:rsid w:val="009F43FE"/>
    <w:rsid w:val="00A04DA9"/>
    <w:rsid w:val="00A2693C"/>
    <w:rsid w:val="00A95C88"/>
    <w:rsid w:val="00AC1A9D"/>
    <w:rsid w:val="00AC482F"/>
    <w:rsid w:val="00AE1A44"/>
    <w:rsid w:val="00AE7636"/>
    <w:rsid w:val="00B73FB0"/>
    <w:rsid w:val="00B8523D"/>
    <w:rsid w:val="00C27CA6"/>
    <w:rsid w:val="00C35FCB"/>
    <w:rsid w:val="00CF5B7D"/>
    <w:rsid w:val="00D1206A"/>
    <w:rsid w:val="00D46225"/>
    <w:rsid w:val="00D84C35"/>
    <w:rsid w:val="00DB346D"/>
    <w:rsid w:val="00DE3B31"/>
    <w:rsid w:val="00E0685C"/>
    <w:rsid w:val="00E23981"/>
    <w:rsid w:val="00F56D93"/>
    <w:rsid w:val="00FF17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02"/>
    <w:pPr>
      <w:ind w:left="720"/>
      <w:contextualSpacing/>
    </w:pPr>
  </w:style>
  <w:style w:type="paragraph" w:styleId="FootnoteText">
    <w:name w:val="footnote text"/>
    <w:basedOn w:val="Normal"/>
    <w:link w:val="FootnoteTextChar"/>
    <w:uiPriority w:val="99"/>
    <w:semiHidden/>
    <w:unhideWhenUsed/>
    <w:rsid w:val="00A26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93C"/>
    <w:rPr>
      <w:sz w:val="20"/>
      <w:szCs w:val="20"/>
    </w:rPr>
  </w:style>
  <w:style w:type="character" w:styleId="FootnoteReference">
    <w:name w:val="footnote reference"/>
    <w:basedOn w:val="DefaultParagraphFont"/>
    <w:uiPriority w:val="99"/>
    <w:semiHidden/>
    <w:unhideWhenUsed/>
    <w:rsid w:val="00A2693C"/>
    <w:rPr>
      <w:vertAlign w:val="superscript"/>
    </w:rPr>
  </w:style>
  <w:style w:type="paragraph" w:styleId="BalloonText">
    <w:name w:val="Balloon Text"/>
    <w:basedOn w:val="Normal"/>
    <w:link w:val="BalloonTextChar"/>
    <w:uiPriority w:val="99"/>
    <w:semiHidden/>
    <w:unhideWhenUsed/>
    <w:rsid w:val="0096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8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8F62-5C10-4972-AE3B-F1047374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dcterms:created xsi:type="dcterms:W3CDTF">2009-10-27T11:28:00Z</dcterms:created>
  <dcterms:modified xsi:type="dcterms:W3CDTF">2009-10-27T13:06:00Z</dcterms:modified>
</cp:coreProperties>
</file>