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62" w:rsidRPr="00923062" w:rsidRDefault="00923062" w:rsidP="000310C3">
      <w:pPr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15CAD">
        <w:rPr>
          <w:rFonts w:ascii="Arial" w:eastAsia="Times New Roman" w:hAnsi="Arial" w:cs="Arial"/>
          <w:b/>
          <w:bCs/>
          <w:color w:val="000000"/>
          <w:szCs w:val="20"/>
        </w:rPr>
        <w:t>CRINMAIL 143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="00C20EF1" w:rsidRPr="00315CAD">
        <w:rPr>
          <w:rFonts w:ascii="Arial" w:eastAsia="Times New Roman" w:hAnsi="Arial" w:cs="Arial" w:hint="cs"/>
          <w:b/>
          <w:bCs/>
          <w:color w:val="000000"/>
          <w:sz w:val="20"/>
          <w:szCs w:val="20"/>
          <w:shd w:val="clear" w:color="auto" w:fill="FFFFFF"/>
          <w:rtl/>
        </w:rPr>
        <w:t>نشرة بريد كرين حول النزاع المسلح</w:t>
      </w:r>
      <w:r w:rsidRPr="009230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في هذ</w:t>
      </w:r>
      <w:r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العدد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rtl/>
        </w:rPr>
        <w:br/>
      </w:r>
      <w:r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قضية العدد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: جمهورية الكونغو الديمقراطية </w:t>
      </w:r>
      <w:r w:rsidR="00820FE3"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–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استئناف 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النيابة العامة للمحكمة الجنائية الدولية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ضد طلب </w:t>
      </w:r>
      <w:r w:rsidR="00375208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الإفراج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 عن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لوبانغا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آخر الأخبار والتقارير :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-- نيبال: فتاة </w:t>
      </w:r>
      <w:r w:rsid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من 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الذين </w:t>
      </w:r>
      <w:r w:rsid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تحدثوا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في الأمم المتحدة </w:t>
      </w:r>
      <w:r w:rsid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ت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تلقى تهديدات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EBEFF9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-- الهند: فرض قوانين قضاء الأحداث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-- قرغيزستان: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انتشار 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الاحتجاز التعسفي والتعذيب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-- أوغندا</w:t>
      </w:r>
      <w:r w:rsidR="000310C3">
        <w:rPr>
          <w:rFonts w:ascii="Arial" w:eastAsia="Times New Roman" w:hAnsi="Arial" w:cs="Arial" w:hint="cs"/>
          <w:b/>
          <w:bCs/>
          <w:color w:val="000000"/>
          <w:szCs w:val="20"/>
          <w:rtl/>
        </w:rPr>
        <w:t>: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العودة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القسرية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ل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طالبي اللجوء الروانديين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-- نشرة الهجرة القسرية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، العدد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35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: الإعاقة والتشرد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-- </w:t>
      </w:r>
      <w:r w:rsidR="00375208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إسرائيل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: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قتل عن طريق التحكم عن بعد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-- الأراضي الفلسطينية المحتلة: مراجعة لحقوق الطفل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قضية العدد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: جمهورية الكونغو الديمقراطية </w:t>
      </w:r>
      <w:r w:rsidR="00820FE3"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>–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استئناف </w:t>
      </w:r>
      <w:r w:rsidR="00820FE3"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النيابة العامة للمحكمة الجنائية الدولية 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ضد طلب </w:t>
      </w:r>
      <w:r w:rsidR="00375208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الإفراج</w:t>
      </w:r>
      <w:r w:rsidR="00820FE3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 عن</w:t>
      </w:r>
      <w:r w:rsidR="00820FE3"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لوبانغا</w:t>
      </w:r>
      <w:r w:rsidR="00C20EF1" w:rsidRPr="00315CA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.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>[لاهاي، 16 يوليو 2010] -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قدمت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النيابة العامة 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>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لمحكمة الجنائية الدولية يوم الجمعة احتجاجا على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الأ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مر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بالإفراج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عن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زعيم الميليشيا الكونجولي توماس لوبان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>غ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ا، 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الذي يحاكم بتهمة ارتكاب جرائم حرب 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حيث توقفت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محاكمت</w:t>
      </w:r>
      <w:r w:rsidR="00375208">
        <w:rPr>
          <w:rFonts w:ascii="Arial" w:eastAsia="Times New Roman" w:hAnsi="Arial" w:cs="Arial" w:hint="eastAsia"/>
          <w:color w:val="000000"/>
          <w:szCs w:val="20"/>
          <w:rtl/>
        </w:rPr>
        <w:t>ه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بناء على قرار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من جانب القضاة.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ف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قد أصدر قضاة المحكمة في قضية لوبانغا يوم الخميس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 أمرا ب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الإفراج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عنه،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حيث أفاد القضاة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انه لا يمكن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عقد المحاكمة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على أساس "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الافتراض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"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دون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 أن يكون هناك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تحديد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ل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موعد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 استئناف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محاكمته.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وقد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المدعي العام لويس مورينو اوكامبو للصحفيين يوم الجمعة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مكتبه قد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قام بتقديم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طعن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للمحكمة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و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انه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كان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 على ثقة من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>الحصول على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أمر بوقف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إطلاق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سراح لوبانغا.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ويدور الخلاف حول هوية 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وسيط، و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الذي 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>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ستخدم من قبل مكتب المدعي العام للمساعدة في العثور على الشهود. و</w:t>
      </w:r>
      <w:r w:rsidR="00324EBF">
        <w:rPr>
          <w:rFonts w:ascii="Arial" w:eastAsia="Times New Roman" w:hAnsi="Arial" w:cs="Arial" w:hint="cs"/>
          <w:color w:val="000000"/>
          <w:szCs w:val="20"/>
          <w:rtl/>
        </w:rPr>
        <w:t xml:space="preserve">قد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علقت محاكمة لوبانغا يوم 8 يوليو بعد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>اعترض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الادعاء 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 xml:space="preserve">على </w:t>
      </w:r>
      <w:r w:rsidR="00520364">
        <w:rPr>
          <w:rFonts w:ascii="Arial" w:eastAsia="Times New Roman" w:hAnsi="Arial" w:cs="Arial" w:hint="cs"/>
          <w:color w:val="000000"/>
          <w:szCs w:val="20"/>
          <w:rtl/>
        </w:rPr>
        <w:t>أمر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يتعلق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ببيان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هوية الوسيط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لمحامي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لدفاع.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وكان الادعاء قد أصر على أن هناك حاجة لتوفير الحماية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الجسدية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لل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وسيط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 xml:space="preserve">قبل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الكشف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عن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هويته.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 xml:space="preserve">تجدر </w:t>
      </w:r>
      <w:r w:rsidR="00520364">
        <w:rPr>
          <w:rFonts w:ascii="Arial" w:eastAsia="Times New Roman" w:hAnsi="Arial" w:cs="Arial" w:hint="cs"/>
          <w:color w:val="000000"/>
          <w:szCs w:val="20"/>
          <w:rtl/>
        </w:rPr>
        <w:t>الإشارة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 xml:space="preserve"> هنا </w:t>
      </w:r>
      <w:r w:rsidR="00520364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الو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سيط هو أيضا شاهد محتمل في قضية أخرى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تتعلق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بارتكاب جرائم حرب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في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الكونغو،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والمتعلقة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ك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اتانغا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جيرمان،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حيث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أمرت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المحكمة في تلك القضية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حماية الشهود.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مورينو اوكامبو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أمر الحماية في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قضية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كاتانغا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قد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أنهى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المشكلة في قضية لوبانغا وانه لم يعد هناك سبب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يمنع ا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لكشف عن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هوية الشاهد لفريق الدفاع، وبالتالي فإن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ه يمكن المضي قدما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القضية.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>و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كان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لوبانغا</w:t>
      </w:r>
      <w:r w:rsidR="00704250">
        <w:rPr>
          <w:rFonts w:ascii="Arial" w:eastAsia="Times New Roman" w:hAnsi="Arial" w:cs="Arial" w:hint="cs"/>
          <w:color w:val="000000"/>
          <w:szCs w:val="20"/>
          <w:rtl/>
        </w:rPr>
        <w:t xml:space="preserve"> قد اتهم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بالقيام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تجنيد أطفال تقل أعمارهم عن 15 سنة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لصالح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اتحاد الوطنيين الكونغوليين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للمشاركة في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قتل أفراد من قبيلة منافسة في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حرب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 التي دارت في الفترة بين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1998-2003 في جمهورية الكونغو الديمقراطية.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 خلال محكمته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ب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أنه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غير مذنب ووصف نفسه بأنه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رجل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سياسي، وليس أحد أمراء الحرب.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هذا وقد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استؤنفت محاكمة لوبانغا في كانون الثاني / يناير بعد ستة أشهر من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 انتهاء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النيابة العامة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من القضية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حيث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الدفاع بأن الأطفال الجنود السابقين الذين شهدوا ضده </w:t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>قد قاموا باختلاق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قصصهم.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(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المصدر رويتر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)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F54A7B">
        <w:rPr>
          <w:rFonts w:ascii="Arial" w:eastAsia="Times New Roman" w:hAnsi="Arial" w:cs="Arial"/>
          <w:b/>
          <w:bCs/>
          <w:color w:val="000000"/>
          <w:szCs w:val="20"/>
          <w:rtl/>
        </w:rPr>
        <w:t>للمزيد من المعلومات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    * </w:t>
      </w:r>
      <w:hyperlink r:id="rId4" w:history="1"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>جمهورية الكونغو الديمقراطية: المحكمة الجنائية الدولية</w:t>
        </w:r>
        <w:r w:rsidR="000310C3">
          <w:rPr>
            <w:rStyle w:val="Hyperlink"/>
            <w:rFonts w:ascii="Arial" w:eastAsia="Times New Roman" w:hAnsi="Arial" w:cs="Arial" w:hint="cs"/>
            <w:szCs w:val="20"/>
            <w:rtl/>
          </w:rPr>
          <w:t>،</w:t>
        </w:r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 xml:space="preserve"> الشروع في المحاكمة على الرغم من الانتكاسات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(يناير 2009)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    * </w:t>
      </w:r>
      <w:hyperlink r:id="rId5" w:history="1"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>جمهورية الكونغو الديمقراطية: المحكمة الجنائية الدولية أول محاكمة تركز على الأطفال الجنود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(هيومن رايتس ووتش، 23 يناير 2009)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    * </w:t>
      </w:r>
      <w:hyperlink r:id="rId6" w:history="1"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>البروتوكول الاختياري بشأن اشتراك الأطفال في النزاعات المسلحة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>    </w:t>
      </w:r>
      <w:hyperlink r:id="rId7" w:history="1"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 xml:space="preserve">* </w:t>
        </w:r>
        <w:r w:rsidR="00D03A93" w:rsidRPr="00D44C41">
          <w:rPr>
            <w:rStyle w:val="Hyperlink"/>
            <w:rFonts w:ascii="Arial" w:eastAsia="Times New Roman" w:hAnsi="Arial" w:cs="Arial" w:hint="cs"/>
            <w:szCs w:val="20"/>
            <w:rtl/>
          </w:rPr>
          <w:t>لل</w:t>
        </w:r>
        <w:r w:rsidRPr="00D44C41">
          <w:rPr>
            <w:rStyle w:val="Hyperlink"/>
            <w:rFonts w:ascii="Arial" w:eastAsia="Times New Roman" w:hAnsi="Arial" w:cs="Arial"/>
            <w:szCs w:val="20"/>
            <w:rtl/>
          </w:rPr>
          <w:t>مزيد من المعلومات عن حقوق الطفل في جمهورية الكونغو الديمقراطية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>    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D03A93">
        <w:rPr>
          <w:rFonts w:ascii="Arial" w:eastAsia="Times New Roman" w:hAnsi="Arial" w:cs="Arial" w:hint="cs"/>
          <w:color w:val="000000"/>
          <w:szCs w:val="20"/>
          <w:rtl/>
        </w:rPr>
        <w:t xml:space="preserve">للمزيد يمكن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زيارة الموقع: </w:t>
      </w:r>
      <w:hyperlink r:id="rId8" w:history="1">
        <w:r w:rsidR="00D44C41">
          <w:rPr>
            <w:rStyle w:val="Hyperlink"/>
            <w:rFonts w:ascii="Verdana" w:hAnsi="Verdana"/>
            <w:sz w:val="17"/>
            <w:szCs w:val="17"/>
          </w:rPr>
          <w:t>http://www.crin.org/resources/infoDetail.asp?ID=22892</w:t>
        </w:r>
      </w:hyperlink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__________________________________________________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F54A7B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آخر الأخبار والتقارير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F54A7B" w:rsidRPr="00F54A7B">
        <w:rPr>
          <w:rFonts w:ascii="Arial" w:eastAsia="Times New Roman" w:hAnsi="Arial" w:cs="Arial" w:hint="cs"/>
          <w:b/>
          <w:bCs/>
          <w:color w:val="000000"/>
          <w:szCs w:val="20"/>
          <w:rtl/>
        </w:rPr>
        <w:lastRenderedPageBreak/>
        <w:t>قلق على السلامة الشخصية: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F54A7B">
        <w:rPr>
          <w:rFonts w:ascii="Arial" w:eastAsia="Times New Roman" w:hAnsi="Arial" w:cs="Arial"/>
          <w:b/>
          <w:bCs/>
          <w:color w:val="000000"/>
          <w:szCs w:val="20"/>
          <w:rtl/>
        </w:rPr>
        <w:t>نيبال: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>قالت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فتاة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من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الذين تحدثوا أمام مجلس الأمن الشهر الماضي عن تجربتها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كطفلة مجندة،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520364">
        <w:rPr>
          <w:rFonts w:ascii="Arial" w:eastAsia="Times New Roman" w:hAnsi="Arial" w:cs="Arial" w:hint="cs"/>
          <w:color w:val="000000"/>
          <w:szCs w:val="20"/>
          <w:rtl/>
        </w:rPr>
        <w:t>أنها</w:t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تعرض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للتهديد من قبل مجموعة من المتمردين الماويين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بعد عودتها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إلى قريتها. وعلى الرغم من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إخفاء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اسم الفتاة خلال الحدث،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إلا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انه تم التعرف عليها من خلال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صور فوتوغرافية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اخذت لها</w:t>
      </w:r>
      <w:r w:rsidR="00F54A7B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حيث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أفادت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الفتاة: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"قالوا لي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نواياي ليست جيدة... وقال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لي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ول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>وال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دتي أن أي شيء يمكن أن يحدث لي في المستقبل".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يقوم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مكتب الأمم المتحدة في كاتماندو </w:t>
      </w:r>
      <w:r w:rsidR="00F54A7B">
        <w:rPr>
          <w:rFonts w:ascii="Arial" w:eastAsia="Times New Roman" w:hAnsi="Arial" w:cs="Arial" w:hint="cs"/>
          <w:color w:val="000000"/>
          <w:szCs w:val="20"/>
          <w:rtl/>
        </w:rPr>
        <w:t xml:space="preserve"> بتقييم الوضع وهو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على علم بالتهديدات. </w:t>
      </w:r>
      <w:hyperlink r:id="rId9" w:history="1">
        <w:r w:rsidR="00F54A7B" w:rsidRPr="00F54A7B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F54A7B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-------------------------------------------------- -----------------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40023">
        <w:rPr>
          <w:rFonts w:ascii="Arial" w:eastAsia="Times New Roman" w:hAnsi="Arial" w:cs="Arial"/>
          <w:b/>
          <w:bCs/>
          <w:color w:val="000000"/>
          <w:szCs w:val="20"/>
          <w:rtl/>
        </w:rPr>
        <w:t>الاحتجاز التعسفي والاضطرابات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857A20" w:rsidRPr="00C40023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الهند:</w:t>
      </w:r>
      <w:r w:rsidR="00857A20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هيومن رايتس ووتش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="00857A20">
        <w:rPr>
          <w:rFonts w:ascii="Arial" w:eastAsia="Times New Roman" w:hAnsi="Arial" w:cs="Arial" w:hint="cs"/>
          <w:color w:val="000000"/>
          <w:szCs w:val="20"/>
          <w:rtl/>
        </w:rPr>
        <w:t xml:space="preserve"> على حكومة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ولاية جامو وكشمير تنفيذ أمر المحكمة العليا لضمان حقوق المحاكمة العادلة والحماية للأطفال المحتجزين بتهمة المشاركة في الاحتجاجات العنيفة في الشوارع. مئات من هؤلاء الأطفال، والمعروف</w:t>
      </w:r>
      <w:r w:rsidR="00857A20">
        <w:rPr>
          <w:rFonts w:ascii="Arial" w:eastAsia="Times New Roman" w:hAnsi="Arial" w:cs="Arial" w:hint="cs"/>
          <w:color w:val="000000"/>
          <w:szCs w:val="20"/>
          <w:rtl/>
        </w:rPr>
        <w:t>ين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محليا باسم "</w:t>
      </w:r>
      <w:r w:rsidRPr="00923062">
        <w:rPr>
          <w:rFonts w:ascii="Arial" w:eastAsia="Times New Roman" w:hAnsi="Arial" w:cs="Arial"/>
          <w:color w:val="000000"/>
          <w:szCs w:val="20"/>
        </w:rPr>
        <w:t>pelters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/>
          <w:color w:val="000000"/>
          <w:szCs w:val="20"/>
        </w:rPr>
        <w:t>Stone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"،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يتعرضون لخطر الاعتقال التعسفي وسوء المعاملة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حيث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تكافح السلطات لاحتواء الاحتجاجات. </w:t>
      </w:r>
      <w:hyperlink r:id="rId10" w:history="1">
        <w:r w:rsidR="00C40023" w:rsidRPr="00C40023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C40023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40023">
        <w:rPr>
          <w:rFonts w:ascii="Arial" w:eastAsia="Times New Roman" w:hAnsi="Arial" w:cs="Arial"/>
          <w:b/>
          <w:bCs/>
          <w:color w:val="000000"/>
          <w:szCs w:val="20"/>
          <w:rtl/>
        </w:rPr>
        <w:t>قيرغيزستان: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أفاد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C40023" w:rsidRPr="00923062">
        <w:rPr>
          <w:rFonts w:ascii="Arial" w:eastAsia="Times New Roman" w:hAnsi="Arial" w:cs="Arial"/>
          <w:color w:val="000000"/>
          <w:szCs w:val="20"/>
          <w:rtl/>
        </w:rPr>
        <w:t xml:space="preserve">مسؤول كبير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بالأمم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قوات الأمن في جنوب قيرغيزستان هي المسؤولة عن انتهاكات حقوق الإنسان، بدءا من الاعتقال التعسفي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وا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لتعذيب،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الأمر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الذي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يهدد السلام الهش في المنطقة بعد ستة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أسابيع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من اندلاع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أعمال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 العنف والقتل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بين الأعراق.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0415B3">
        <w:rPr>
          <w:rFonts w:ascii="Arial" w:eastAsia="Times New Roman" w:hAnsi="Arial" w:cs="Arial" w:hint="cs"/>
          <w:color w:val="000000"/>
          <w:szCs w:val="20"/>
          <w:rtl/>
        </w:rPr>
        <w:t xml:space="preserve">هذا وشدد المفوض السامي لحقوق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الإنسان</w:t>
      </w:r>
      <w:r w:rsidR="000415B3">
        <w:rPr>
          <w:rFonts w:ascii="Arial" w:eastAsia="Times New Roman" w:hAnsi="Arial" w:cs="Arial" w:hint="cs"/>
          <w:color w:val="000000"/>
          <w:szCs w:val="20"/>
          <w:rtl/>
        </w:rPr>
        <w:t xml:space="preserve">  </w:t>
      </w:r>
      <w:r w:rsidR="000415B3" w:rsidRPr="00923062">
        <w:rPr>
          <w:rFonts w:ascii="Arial" w:eastAsia="Times New Roman" w:hAnsi="Arial" w:cs="Arial"/>
          <w:color w:val="000000"/>
          <w:szCs w:val="20"/>
          <w:rtl/>
        </w:rPr>
        <w:t>نافي بيلاي</w:t>
      </w:r>
      <w:r w:rsidR="000415B3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أن</w:t>
      </w:r>
      <w:r w:rsidR="000415B3"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"أعداد كبيرة من الناس - ومعظمهم من الشبان،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من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الأوزب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ي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ك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- تم احتجازهم بصورة تعسفية </w:t>
      </w:r>
      <w:r w:rsidR="000415B3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بطريقة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لا تدل فقط على التحيز العرقي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الصارخ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، ولكن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 xml:space="preserve">تشمل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أيضا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خرق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العديد من المبادئ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الأساسية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قيرغيزستان و</w:t>
      </w:r>
      <w:r w:rsidR="00C40023">
        <w:rPr>
          <w:rFonts w:ascii="Arial" w:eastAsia="Times New Roman" w:hAnsi="Arial" w:cs="Arial" w:hint="cs"/>
          <w:color w:val="000000"/>
          <w:szCs w:val="20"/>
          <w:rtl/>
        </w:rPr>
        <w:t>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لقانون الدولي،"</w:t>
      </w:r>
      <w:r w:rsidR="000415B3">
        <w:rPr>
          <w:rFonts w:ascii="Arial" w:eastAsia="Times New Roman" w:hAnsi="Arial" w:cs="Arial" w:hint="cs"/>
          <w:color w:val="000000"/>
          <w:szCs w:val="20"/>
          <w:rtl/>
        </w:rPr>
        <w:t>.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hyperlink r:id="rId11" w:history="1">
        <w:r w:rsidR="000415B3" w:rsidRPr="000415B3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0415B3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-------------------------------------------------- ----------------- </w:t>
      </w:r>
      <w:r w:rsidR="00375208"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 w:rsidRPr="000415B3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البحث عن ملاذ آمن </w:t>
      </w:r>
      <w:r w:rsidR="00375208" w:rsidRPr="000415B3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="00375208" w:rsidRPr="000415B3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="00375208" w:rsidRPr="000415B3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أوغندا: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 أفادت وكالة أنباء أي أف بي،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أ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ن أوغندا قامت بالإعادة القسرية ل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1700 طالب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لجوء ولاجئ رواندي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من مخيمين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 للجوء 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في جنوب غرب البلاد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الأسبوع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 xml:space="preserve"> الماضي،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وذلك حسب </w:t>
      </w:r>
      <w:r w:rsidR="00375208" w:rsidRPr="00923062">
        <w:rPr>
          <w:rFonts w:ascii="Arial" w:eastAsia="Times New Roman" w:hAnsi="Arial" w:cs="Arial"/>
          <w:color w:val="000000"/>
          <w:szCs w:val="20"/>
          <w:rtl/>
        </w:rPr>
        <w:t>وكالة فرانس برس.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لقد تم تجميع طالبي اللجوء في منطقة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واحدة تحت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حجة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إعلامهم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بنتائج طلبات لجوئهم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قبل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وضعهم في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شاحنات وترحيلهم.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0310C3">
        <w:rPr>
          <w:rFonts w:ascii="Arial" w:eastAsia="Times New Roman" w:hAnsi="Arial" w:cs="Arial" w:hint="cs"/>
          <w:color w:val="000000"/>
          <w:szCs w:val="20"/>
          <w:rtl/>
        </w:rPr>
        <w:t xml:space="preserve">كانت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قد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ذكرت متحدثة باسم مفوضية الأمم المتحدة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السامية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لشؤون اللاجئين أنه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قد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تم فصل الأطفال عن آبائهم في هذه العملية. </w:t>
      </w:r>
      <w:hyperlink r:id="rId12" w:history="1">
        <w:r w:rsidR="00D73B34" w:rsidRPr="00D73B34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D73B34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D73B34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D73B34">
        <w:rPr>
          <w:rFonts w:ascii="Arial" w:eastAsia="Times New Roman" w:hAnsi="Arial" w:cs="Arial"/>
          <w:b/>
          <w:bCs/>
          <w:color w:val="000000"/>
          <w:szCs w:val="20"/>
          <w:rtl/>
        </w:rPr>
        <w:t>الإعاقة: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أصدر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مركز دراسات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اللاجئين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في جامعة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أكسفورد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 العدد 35 من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نشرة الهجرة القسرية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 xml:space="preserve">حيث يركز هذا العدد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على الإعاقة والتشرد.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تعرض 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مجلة 27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مقالة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التي تبين لماذ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ا يحتاج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المعاق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ن </w:t>
      </w:r>
      <w:r w:rsidR="00D73B34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نازحون إلى اهتمام خاص.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تجدر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الإشارة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إلى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انه ليس من الشائع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شمل المعوقين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 xml:space="preserve">ضمن </w:t>
      </w:r>
      <w:r w:rsidR="00375208" w:rsidRPr="00923062">
        <w:rPr>
          <w:rFonts w:ascii="Arial" w:eastAsia="Times New Roman" w:hAnsi="Arial" w:cs="Arial" w:hint="cs"/>
          <w:color w:val="000000"/>
          <w:szCs w:val="20"/>
          <w:rtl/>
        </w:rPr>
        <w:t>تلك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الفئات التي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تعتبر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معرضة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بوجه خاص في حالات الكوارث والتشرد.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عليه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،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فانه من النادر استهداف هذه الفئة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من حيث الخدمات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على الرغم من كونهم يمثلون 10 في المائة من المشردين. </w:t>
      </w:r>
      <w:hyperlink r:id="rId13" w:history="1">
        <w:r w:rsidR="00E154B4" w:rsidRPr="00E154B4">
          <w:rPr>
            <w:rStyle w:val="Hyperlink"/>
            <w:rFonts w:ascii="Arial" w:eastAsia="Times New Roman" w:hAnsi="Arial" w:cs="Arial" w:hint="cs"/>
            <w:szCs w:val="20"/>
            <w:rtl/>
          </w:rPr>
          <w:t>لت</w:t>
        </w:r>
        <w:r w:rsidRPr="00E154B4">
          <w:rPr>
            <w:rStyle w:val="Hyperlink"/>
            <w:rFonts w:ascii="Arial" w:eastAsia="Times New Roman" w:hAnsi="Arial" w:cs="Arial"/>
            <w:szCs w:val="20"/>
            <w:rtl/>
          </w:rPr>
          <w:t>حم</w:t>
        </w:r>
        <w:r w:rsidR="00E154B4" w:rsidRPr="00E154B4">
          <w:rPr>
            <w:rStyle w:val="Hyperlink"/>
            <w:rFonts w:ascii="Arial" w:eastAsia="Times New Roman" w:hAnsi="Arial" w:cs="Arial" w:hint="cs"/>
            <w:szCs w:val="20"/>
            <w:rtl/>
          </w:rPr>
          <w:t>ي</w:t>
        </w:r>
        <w:r w:rsidRPr="00E154B4">
          <w:rPr>
            <w:rStyle w:val="Hyperlink"/>
            <w:rFonts w:ascii="Arial" w:eastAsia="Times New Roman" w:hAnsi="Arial" w:cs="Arial"/>
            <w:szCs w:val="20"/>
            <w:rtl/>
          </w:rPr>
          <w:t>ل التقرير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-------------------------------------------------- -----------------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تطورات </w:t>
      </w:r>
      <w:r w:rsidR="00E154B4" w:rsidRPr="00315CAD">
        <w:rPr>
          <w:rFonts w:ascii="Arial" w:eastAsia="Times New Roman" w:hAnsi="Arial" w:cs="Arial" w:hint="cs"/>
          <w:b/>
          <w:bCs/>
          <w:color w:val="000000"/>
          <w:szCs w:val="20"/>
          <w:rtl/>
        </w:rPr>
        <w:t>مشؤومة</w:t>
      </w:r>
      <w:r w:rsidRPr="00315CAD">
        <w:rPr>
          <w:rFonts w:ascii="Arial" w:eastAsia="Times New Roman" w:hAnsi="Arial" w:cs="Arial"/>
          <w:b/>
          <w:bCs/>
          <w:color w:val="000000"/>
          <w:szCs w:val="20"/>
          <w:rtl/>
        </w:rPr>
        <w:t xml:space="preserve"> </w:t>
      </w:r>
      <w:r w:rsidRPr="00315CAD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="00375208" w:rsidRPr="00E154B4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إسرائيل</w:t>
      </w:r>
      <w:r w:rsidRPr="00E154B4">
        <w:rPr>
          <w:rFonts w:ascii="Arial" w:eastAsia="Times New Roman" w:hAnsi="Arial" w:cs="Arial"/>
          <w:b/>
          <w:bCs/>
          <w:color w:val="000000"/>
          <w:szCs w:val="20"/>
          <w:rtl/>
        </w:rPr>
        <w:t>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"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حدد نقطة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وأطلق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النار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" </w:t>
      </w:r>
      <w:r w:rsidR="00E154B4">
        <w:rPr>
          <w:rFonts w:ascii="Verdana" w:hAnsi="Verdana"/>
          <w:color w:val="333333"/>
          <w:sz w:val="17"/>
          <w:szCs w:val="17"/>
        </w:rPr>
        <w:t>"Spot and Shoot"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هي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آخر آلة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لقتل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و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التي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س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يستخدمها الجيش الإسرائيلي، و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ذلك وفقا لتقرير 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صحيفة </w:t>
      </w:r>
      <w:r w:rsidR="00E154B4">
        <w:rPr>
          <w:rFonts w:ascii="Verdana" w:hAnsi="Verdana"/>
          <w:color w:val="333333"/>
          <w:sz w:val="17"/>
          <w:szCs w:val="17"/>
        </w:rPr>
        <w:t>"The National"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الصادرة في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الإمارات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العربية المتحدة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. المشغلين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 لهذا الجهاز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،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هن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أساسا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 xml:space="preserve">من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الشابات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اللواتي يخدمن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في الجيش، </w:t>
      </w:r>
      <w:r w:rsidR="00E154B4">
        <w:rPr>
          <w:rFonts w:ascii="Arial" w:eastAsia="Times New Roman" w:hAnsi="Arial" w:cs="Arial" w:hint="cs"/>
          <w:color w:val="000000"/>
          <w:szCs w:val="20"/>
          <w:rtl/>
        </w:rPr>
        <w:t>حيث يقمن ب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الجلوس أمام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شاشة مراقبة تمكنهم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من استهداف الفلسطينيين في غزة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باستخدام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مقود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 "بالتحكم عن بعد"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على غرار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بلي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ستيشن. </w:t>
      </w:r>
      <w:hyperlink r:id="rId14" w:history="1">
        <w:r w:rsidR="00CA5083" w:rsidRPr="00CA5083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CA5083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A5083">
        <w:rPr>
          <w:rFonts w:ascii="Arial" w:eastAsia="Times New Roman" w:hAnsi="Arial" w:cs="Arial"/>
          <w:b/>
          <w:bCs/>
          <w:color w:val="000000"/>
          <w:szCs w:val="20"/>
          <w:rtl/>
        </w:rPr>
        <w:t>الأراضي الفلسطينية المحتلة</w:t>
      </w:r>
      <w:r w:rsidR="00CA5083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: </w:t>
      </w:r>
      <w:r w:rsidR="00375208">
        <w:rPr>
          <w:rFonts w:ascii="Arial" w:eastAsia="Times New Roman" w:hAnsi="Arial" w:cs="Arial" w:hint="cs"/>
          <w:b/>
          <w:bCs/>
          <w:color w:val="000000"/>
          <w:szCs w:val="20"/>
          <w:rtl/>
        </w:rPr>
        <w:t>أصدرت</w:t>
      </w:r>
      <w:r w:rsidR="00CA5083">
        <w:rPr>
          <w:rFonts w:ascii="Arial" w:eastAsia="Times New Roman" w:hAnsi="Arial" w:cs="Arial" w:hint="cs"/>
          <w:b/>
          <w:bCs/>
          <w:color w:val="000000"/>
          <w:szCs w:val="20"/>
          <w:rtl/>
        </w:rPr>
        <w:t xml:space="preserve"> منظمة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إنقاذ الطفولة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-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المملكة المتحدة استعراضها السنوي لحقوق الطفل في الأراضي الفلسطينية المحتلة لسنة 2009.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Cs w:val="20"/>
          <w:rtl/>
        </w:rPr>
        <w:t>يستعرض التقرير الاتجاهات الرئيسية التي تؤثر على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 حقوق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الطفل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في الصحة والتعليم والحماية، و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مستوى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معيشي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>ال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لائق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 وذلك اعتمادا على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البيانات المتاحة وآخر الأبحاث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التي قامت بها </w:t>
      </w:r>
      <w:r w:rsidR="00375208">
        <w:rPr>
          <w:rFonts w:ascii="Arial" w:eastAsia="Times New Roman" w:hAnsi="Arial" w:cs="Arial" w:hint="cs"/>
          <w:color w:val="000000"/>
          <w:szCs w:val="20"/>
          <w:rtl/>
        </w:rPr>
        <w:t>إنقاذ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 الطفل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hyperlink r:id="rId15" w:history="1">
        <w:r w:rsidR="00CA5083" w:rsidRPr="00CA5083">
          <w:rPr>
            <w:rStyle w:val="Hyperlink"/>
            <w:rFonts w:ascii="Arial" w:eastAsia="Times New Roman" w:hAnsi="Arial" w:cs="Arial" w:hint="cs"/>
            <w:szCs w:val="20"/>
            <w:rtl/>
          </w:rPr>
          <w:t>لت</w:t>
        </w:r>
        <w:r w:rsidRPr="00CA5083">
          <w:rPr>
            <w:rStyle w:val="Hyperlink"/>
            <w:rFonts w:ascii="Arial" w:eastAsia="Times New Roman" w:hAnsi="Arial" w:cs="Arial"/>
            <w:szCs w:val="20"/>
            <w:rtl/>
          </w:rPr>
          <w:t>حم</w:t>
        </w:r>
        <w:r w:rsidR="00CA5083" w:rsidRPr="00CA5083">
          <w:rPr>
            <w:rStyle w:val="Hyperlink"/>
            <w:rFonts w:ascii="Arial" w:eastAsia="Times New Roman" w:hAnsi="Arial" w:cs="Arial" w:hint="cs"/>
            <w:szCs w:val="20"/>
            <w:rtl/>
          </w:rPr>
          <w:t>ي</w:t>
        </w:r>
        <w:r w:rsidRPr="00CA5083">
          <w:rPr>
            <w:rStyle w:val="Hyperlink"/>
            <w:rFonts w:ascii="Arial" w:eastAsia="Times New Roman" w:hAnsi="Arial" w:cs="Arial"/>
            <w:szCs w:val="20"/>
            <w:rtl/>
          </w:rPr>
          <w:t>ل التقرير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923062">
        <w:rPr>
          <w:rFonts w:ascii="Arial" w:eastAsia="Times New Roman" w:hAnsi="Arial" w:cs="Arial"/>
          <w:color w:val="000000"/>
          <w:sz w:val="20"/>
          <w:szCs w:val="20"/>
          <w:rtl/>
        </w:rPr>
        <w:br/>
      </w:r>
      <w:r w:rsidRPr="00CA5083">
        <w:rPr>
          <w:rFonts w:ascii="Arial" w:eastAsia="Times New Roman" w:hAnsi="Arial" w:cs="Arial"/>
          <w:b/>
          <w:bCs/>
          <w:color w:val="000000"/>
          <w:szCs w:val="20"/>
          <w:rtl/>
        </w:rPr>
        <w:t>العراق: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="00CA5083">
        <w:rPr>
          <w:rFonts w:ascii="Arial" w:eastAsia="Times New Roman" w:hAnsi="Arial" w:cs="Arial" w:hint="cs"/>
          <w:color w:val="000000"/>
          <w:szCs w:val="20"/>
          <w:rtl/>
        </w:rPr>
        <w:t xml:space="preserve">اجبر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نقص التمويل من الجهات المانحة الأمم المتحدة على تقليص جهودها الإنسانية في العراق، بما </w:t>
      </w:r>
      <w:r w:rsidR="00151EFB">
        <w:rPr>
          <w:rFonts w:ascii="Arial" w:eastAsia="Times New Roman" w:hAnsi="Arial" w:cs="Arial" w:hint="cs"/>
          <w:color w:val="000000"/>
          <w:szCs w:val="20"/>
          <w:rtl/>
        </w:rPr>
        <w:t>في ذلك توقف توزيع المعونات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lastRenderedPageBreak/>
        <w:t xml:space="preserve">الغذائية </w:t>
      </w:r>
      <w:r w:rsidR="00151EFB">
        <w:rPr>
          <w:rFonts w:ascii="Arial" w:eastAsia="Times New Roman" w:hAnsi="Arial" w:cs="Arial" w:hint="cs"/>
          <w:color w:val="000000"/>
          <w:szCs w:val="20"/>
          <w:rtl/>
        </w:rPr>
        <w:t xml:space="preserve"> التي توزع على 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>مئات الآلاف من النساء والأطفال في البلاد التي تمزقها الصراعات</w:t>
      </w:r>
      <w:r w:rsidR="00151EFB">
        <w:rPr>
          <w:rFonts w:ascii="Arial" w:eastAsia="Times New Roman" w:hAnsi="Arial" w:cs="Arial" w:hint="cs"/>
          <w:color w:val="000000"/>
          <w:szCs w:val="20"/>
          <w:rtl/>
        </w:rPr>
        <w:t xml:space="preserve"> وذلك حسب تقرير لأميريكان اون لاين</w:t>
      </w:r>
      <w:r w:rsidRPr="00923062">
        <w:rPr>
          <w:rFonts w:ascii="Arial" w:eastAsia="Times New Roman" w:hAnsi="Arial" w:cs="Arial"/>
          <w:color w:val="000000"/>
          <w:szCs w:val="20"/>
          <w:rtl/>
        </w:rPr>
        <w:t xml:space="preserve">. </w:t>
      </w:r>
      <w:hyperlink r:id="rId16" w:history="1">
        <w:r w:rsidR="00151EFB" w:rsidRPr="00151EFB">
          <w:rPr>
            <w:rStyle w:val="Hyperlink"/>
            <w:rFonts w:ascii="Arial" w:eastAsia="Times New Roman" w:hAnsi="Arial" w:cs="Arial" w:hint="cs"/>
            <w:szCs w:val="20"/>
            <w:rtl/>
          </w:rPr>
          <w:t>ل</w:t>
        </w:r>
        <w:r w:rsidRPr="00151EFB">
          <w:rPr>
            <w:rStyle w:val="Hyperlink"/>
            <w:rFonts w:ascii="Arial" w:eastAsia="Times New Roman" w:hAnsi="Arial" w:cs="Arial"/>
            <w:szCs w:val="20"/>
            <w:rtl/>
          </w:rPr>
          <w:t>قراءة القصة كاملة</w:t>
        </w:r>
      </w:hyperlink>
      <w:r w:rsidRPr="00923062">
        <w:rPr>
          <w:rFonts w:ascii="Arial" w:eastAsia="Times New Roman" w:hAnsi="Arial" w:cs="Arial"/>
          <w:color w:val="000000"/>
          <w:szCs w:val="20"/>
          <w:rtl/>
        </w:rPr>
        <w:t>.</w:t>
      </w:r>
    </w:p>
    <w:sectPr w:rsidR="00923062" w:rsidRPr="00923062" w:rsidSect="001E1F3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062"/>
    <w:rsid w:val="000310C3"/>
    <w:rsid w:val="000415B3"/>
    <w:rsid w:val="00151EFB"/>
    <w:rsid w:val="001E1F34"/>
    <w:rsid w:val="002D7AC6"/>
    <w:rsid w:val="00315CAD"/>
    <w:rsid w:val="00324EBF"/>
    <w:rsid w:val="00375208"/>
    <w:rsid w:val="00405801"/>
    <w:rsid w:val="00520364"/>
    <w:rsid w:val="00590B47"/>
    <w:rsid w:val="0070048F"/>
    <w:rsid w:val="00704250"/>
    <w:rsid w:val="00820FE3"/>
    <w:rsid w:val="00857A20"/>
    <w:rsid w:val="00923062"/>
    <w:rsid w:val="00A9402F"/>
    <w:rsid w:val="00C20EF1"/>
    <w:rsid w:val="00C40023"/>
    <w:rsid w:val="00CA5083"/>
    <w:rsid w:val="00D03A93"/>
    <w:rsid w:val="00D44C41"/>
    <w:rsid w:val="00D73B34"/>
    <w:rsid w:val="00E041DF"/>
    <w:rsid w:val="00E154B4"/>
    <w:rsid w:val="00F5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basedOn w:val="DefaultParagraphFont"/>
    <w:rsid w:val="00923062"/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2306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2306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2306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2306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4C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38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07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379986274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0245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4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n.org/resources/infoDetail.asp?ID=22892" TargetMode="External"/><Relationship Id="rId13" Type="http://schemas.openxmlformats.org/officeDocument/2006/relationships/hyperlink" Target="http://www.fmreview.org/disabilit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in.org/email/crinmail_detail_popup.asp?crinmailID=3375" TargetMode="External"/><Relationship Id="rId12" Type="http://schemas.openxmlformats.org/officeDocument/2006/relationships/hyperlink" Target="http://www.crin.org/resources/infoDetail.asp?ID=22902&amp;flag=new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in.org/email/crinmail_detail_popup.asp?crinmailID=33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hchr.org/english/law/crc-conflict.htm" TargetMode="External"/><Relationship Id="rId11" Type="http://schemas.openxmlformats.org/officeDocument/2006/relationships/hyperlink" Target="http://www.ohchr.org/EN/NewsEvents/Pages/Media.aspx?IsMediaPage=true" TargetMode="External"/><Relationship Id="rId5" Type="http://schemas.openxmlformats.org/officeDocument/2006/relationships/hyperlink" Target="http://www.crin.org/resources/infoDetail.asp?ID=19429&amp;flag=news" TargetMode="External"/><Relationship Id="rId15" Type="http://schemas.openxmlformats.org/officeDocument/2006/relationships/hyperlink" Target="http://www.crin.org/resources/infoDetail.asp?ID=22889&amp;flag=report" TargetMode="External"/><Relationship Id="rId10" Type="http://schemas.openxmlformats.org/officeDocument/2006/relationships/hyperlink" Target="http://www.ohchr.org/EN/NewsEvents/Pages/Media.aspx?IsMediaPage=true" TargetMode="External"/><Relationship Id="rId4" Type="http://schemas.openxmlformats.org/officeDocument/2006/relationships/hyperlink" Target="http://www.crin.org/resources/infoDetail.asp?ID=19492&amp;flag=news" TargetMode="External"/><Relationship Id="rId9" Type="http://schemas.openxmlformats.org/officeDocument/2006/relationships/hyperlink" Target="http://www.crin.org/resources/infodetail.asp?id=22909" TargetMode="External"/><Relationship Id="rId14" Type="http://schemas.openxmlformats.org/officeDocument/2006/relationships/hyperlink" Target="http://www.thenational.ae/apps/pbcs.dll/article?AID=%2F20100713%2FFOREIGN%2F707129834%2F1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2010-07-23T20:03:00Z</dcterms:created>
  <dcterms:modified xsi:type="dcterms:W3CDTF">2010-08-05T14:04:00Z</dcterms:modified>
</cp:coreProperties>
</file>