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</w:pPr>
      <w:r>
        <w:rPr>
          <w:shd w:fill="auto" w:val="clear"/>
        </w:rPr>
        <w:t>Редакционная статья: Права детей, ВИЧ и СПИД</w:t>
      </w:r>
    </w:p>
    <w:p>
      <w:pPr>
        <w:pStyle w:val="style0"/>
        <w:jc w:val="both"/>
      </w:pPr>
      <w:r>
        <w:rPr>
          <w:shd w:fill="auto" w:val="clear"/>
        </w:rPr>
        <w:t>Дата: 01/12/2010</w:t>
      </w:r>
    </w:p>
    <w:p>
      <w:pPr>
        <w:pStyle w:val="style0"/>
        <w:jc w:val="both"/>
      </w:pPr>
      <w:r>
        <w:rPr>
          <w:shd w:fill="auto" w:val="clear"/>
        </w:rPr>
        <w:t>Организация: Международная организация по правам ребенка</w:t>
      </w:r>
    </w:p>
    <w:p>
      <w:pPr>
        <w:pStyle w:val="style0"/>
        <w:jc w:val="both"/>
      </w:pPr>
      <w:r>
        <w:rPr>
          <w:shd w:fill="auto" w:val="clear"/>
        </w:rPr>
        <w:t>Тип ресурса: Публикации (общее)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 xml:space="preserve">Английская версия: </w:t>
      </w:r>
      <w:hyperlink r:id="rId2">
        <w:bookmarkStart w:id="0" w:name="__DdeLink__427_679972359"/>
        <w:bookmarkEnd w:id="0"/>
        <w:r>
          <w:rPr>
            <w:rStyle w:val="style16"/>
            <w:rStyle w:val="style16"/>
            <w:shd w:fill="auto" w:val="clear"/>
          </w:rPr>
          <w:t>http://www.crin.org/email/crinmail_detail_popup.asp?crinmailID=3427</w:t>
        </w:r>
      </w:hyperlink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b/>
          <w:shd w:fill="auto" w:val="clear"/>
        </w:rPr>
        <w:t>Права детей, ВИЧ и СПИД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>Заголовки последнего отчета ЮНЭЙДС показывают, что глобальная эпидемии СПИДа идет на убыль. Доклад, выпущенный во Всемирный день борьбы со СПИДом 2010, показывает падение почти на 20 % вновь инфицированных в этом году по сравнению с количеством инфицированных в 1999 году.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 xml:space="preserve">Дальнейшие исследования показывают, что молодые люди лидируют в приверженности этой тенденции. В 15 наиболее пострадавших странах, где ВИЧ преобладает среди людей от 15 до 24 лет, количество случаев заражения уменьшилось на 25 % в результате повышения уровня знаний и, соответственно, практики ведения более безопасной сексуальной жизни. Случаи передачи заболевания от матери к ребенку упали за последние пять лет на 24 %. 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>Хотя в отчете говорится о выросшем уровене осведомленности, в то же время он напоминает о том, что люди от 15 до 24 лет по прежнему подвержены инфекции. Девочки и женщины подвергаются непропорционально высокому риску заражения ВИЧ. Например, в Африке, к югу от Сахары,  женщины и девушки в возрасте от 15 до 24 лет подвержены заражению ВИЧ в восемь раз больше, чем мужчины, в основном из-за гендерного насилия и экономической зависимости от мужчин, делающих их неспособными вести безопасную сексуальную жизнь. Кроме того, несмотря на то, что был достигнут прогресс в отношении лечения ВИЧ, только 35 % тех кто в нем нуждается, его получают.</w:t>
      </w:r>
    </w:p>
    <w:p>
      <w:pPr>
        <w:pStyle w:val="style0"/>
        <w:jc w:val="both"/>
      </w:pPr>
      <w:r>
        <w:rPr>
          <w:shd w:fill="auto" w:val="clear"/>
        </w:rPr>
        <w:t xml:space="preserve"> </w:t>
      </w:r>
    </w:p>
    <w:p>
      <w:pPr>
        <w:pStyle w:val="style0"/>
        <w:jc w:val="both"/>
      </w:pPr>
      <w:r>
        <w:rPr>
          <w:shd w:fill="auto" w:val="clear"/>
        </w:rPr>
        <w:t>Тема Международного дня в этом году – всеобщий доступ и права человека – говорится о том, что подход к правам человека подразумевает, в первую очередь, профилактику и лечение.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>Это издание Международной организации по правам ребенка обращает особое внимание на права детей, ВИЧ и СПИД, в связи с повышенной уязвимостью детей и молодых людей. Это происходит в результате опасных попыток ограничить доступ детей к информации с целью «защитить» в таких вопросах, как сексуальное образование, употребление наркотиков и сексуальность — вопросы, к которым мы должны быть готовы, чтобы предотвратить распространение ВИЧ.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b/>
          <w:bCs/>
          <w:shd w:fill="auto" w:val="clear"/>
        </w:rPr>
        <w:t>ВИЧ, СПИД и Конвенция о правах ребенка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 xml:space="preserve">В то время как Конвенция о правах ребенка не сделала конкретных упоминаний о ВИЧ и СПИДе, остаются положения в договоре, которые предлагают детям защиту от последствий ВИЧ и СПИДа.  В дополнение, Комитет по правам ребенка в значительной степени обращает внимание на вопрос ВИЧ/СПИДа в Заключительных замечаниях для государств, а так же в Общем Комментарии №3 «ВИЧ/СПИД и права ребенка». 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color w:val="000000"/>
          <w:shd w:fill="auto" w:val="clear"/>
        </w:rPr>
        <w:t xml:space="preserve">Проблема ВИЧ, СПИДа и детей не только говорит о доступе к лечению,  как сказано в </w:t>
      </w:r>
      <w:hyperlink w:anchor="Twenty_four">
        <w:r>
          <w:rPr>
            <w:rStyle w:val="style16"/>
            <w:rStyle w:val="style16"/>
            <w:shd w:fill="auto" w:val="clear"/>
          </w:rPr>
          <w:t>Параграфе 24</w:t>
        </w:r>
      </w:hyperlink>
      <w:r>
        <w:rPr>
          <w:color w:val="000000"/>
          <w:shd w:fill="auto" w:val="clear"/>
        </w:rPr>
        <w:t xml:space="preserve">, но касается всего спектра прав детей. </w:t>
      </w:r>
      <w:hyperlink w:anchor="Two">
        <w:r>
          <w:rPr>
            <w:rStyle w:val="style16"/>
            <w:rStyle w:val="style16"/>
            <w:shd w:fill="auto" w:val="clear"/>
          </w:rPr>
          <w:t>Параграф 2</w:t>
        </w:r>
      </w:hyperlink>
      <w:r>
        <w:rPr>
          <w:color w:val="000000"/>
          <w:shd w:fill="auto" w:val="clear"/>
        </w:rPr>
        <w:t xml:space="preserve"> Конвенции по правам детей, например, устанавливает право не подвергаться дискриминации по расе, цвету, полу и другим статусам. ВИЧ и СПИД не входят в этот список. Дети, чьи родители страдают от ВИЧ и СПИД часто подвергаются стигматизации и дискриминации.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b/>
          <w:bCs/>
          <w:color w:val="000000"/>
          <w:shd w:fill="auto" w:val="clear"/>
        </w:rPr>
        <w:t>Цензура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color w:val="000000"/>
          <w:shd w:fill="auto" w:val="clear"/>
        </w:rPr>
        <w:t>В ноябре 2003 года, Комитет ООН по правам ребенка принял Общий Комментарий по теме «ВИЧ /СПИД и права ребенка», который  подробно объясняет значимые параграфы и подчеркивает некоторые барьеры на пути решения проблем, относящихся к детям: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color w:val="000000"/>
          <w:shd w:fill="auto" w:val="clear"/>
        </w:rPr>
        <w:t xml:space="preserve">«Отрицание того, что проблема существует, культурные практики и отношения, включая табу и стигматизацию, бедность и покровительственное отношение к детям - это только некоторые помехи, блокирующие политические и личные обязательства, необходимые для </w:t>
      </w:r>
      <w:r>
        <w:rPr>
          <w:color w:val="000000"/>
          <w:shd w:fill="auto" w:val="clear"/>
        </w:rPr>
        <w:t>эффективности</w:t>
      </w:r>
      <w:r>
        <w:rPr>
          <w:color w:val="000000"/>
          <w:shd w:fill="auto" w:val="clear"/>
        </w:rPr>
        <w:t xml:space="preserve"> программ».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color w:val="auto"/>
          <w:shd w:fill="auto" w:val="clear"/>
        </w:rPr>
        <w:t>Чтобы показать уровень социальной стигмы: в 2006 году в Туркменистане в докладе государства-участника Комитету ООН по правам ребенка было объявлено о том, что в стране не зафиксирован ни один случай ВИЧ/СПИДа у ребенка.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color w:val="000000"/>
          <w:shd w:fill="auto" w:val="clear"/>
        </w:rPr>
        <w:t xml:space="preserve">И действительно, «покровительственное отношение к детям» часто диктовало политику сексуального воспитания. Государство, учителя и врачи поступают очень осторожно, </w:t>
      </w:r>
      <w:r>
        <w:rPr>
          <w:color w:val="000000"/>
          <w:shd w:fill="auto" w:val="clear"/>
        </w:rPr>
        <w:t>стараясь не вызвать гнева</w:t>
      </w:r>
      <w:r>
        <w:rPr>
          <w:color w:val="000000"/>
          <w:shd w:fill="auto" w:val="clear"/>
        </w:rPr>
        <w:t xml:space="preserve"> родителей, или, в некоторых случаях, СМИ. Как результат, образовательная политика может отсутствовать или быть запутанной. 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color w:val="000000"/>
          <w:shd w:fill="auto" w:val="clear"/>
        </w:rPr>
        <w:t xml:space="preserve">Общий Комментарий заявляет, что: «Подростки также подвержены заражению ВИЧ, потому что их первый сексуальный опыт может произойти в среде, в </w:t>
      </w:r>
      <w:r>
        <w:rPr>
          <w:color w:val="000000"/>
          <w:shd w:fill="auto" w:val="clear"/>
        </w:rPr>
        <w:t>которой</w:t>
      </w:r>
      <w:r>
        <w:rPr>
          <w:color w:val="000000"/>
          <w:shd w:fill="auto" w:val="clear"/>
        </w:rPr>
        <w:t xml:space="preserve"> нет доступа к соответствующей информации и рекомендациям».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color w:val="000000"/>
          <w:shd w:fill="auto" w:val="clear"/>
        </w:rPr>
        <w:t xml:space="preserve">К сожалению, </w:t>
      </w:r>
      <w:r>
        <w:rPr>
          <w:color w:val="000000"/>
          <w:shd w:fill="auto" w:val="clear"/>
        </w:rPr>
        <w:t>существует</w:t>
      </w:r>
      <w:r>
        <w:rPr>
          <w:color w:val="000000"/>
          <w:shd w:fill="auto" w:val="clear"/>
        </w:rPr>
        <w:t xml:space="preserve"> недопонимание касательно сексуального воспитания. </w:t>
      </w:r>
      <w:r>
        <w:rPr>
          <w:color w:val="000000"/>
          <w:shd w:fill="auto" w:val="clear"/>
        </w:rPr>
        <w:t>Особенно неуместным является мнение о том,</w:t>
      </w:r>
      <w:r>
        <w:rPr>
          <w:color w:val="000000"/>
          <w:shd w:fill="auto" w:val="clear"/>
        </w:rPr>
        <w:t xml:space="preserve"> что сексуальное воспитание </w:t>
      </w:r>
      <w:r>
        <w:rPr>
          <w:color w:val="000000"/>
          <w:shd w:fill="auto" w:val="clear"/>
        </w:rPr>
        <w:t>учит детей распущенности</w:t>
      </w:r>
      <w:r>
        <w:rPr>
          <w:color w:val="000000"/>
          <w:shd w:fill="auto" w:val="clear"/>
        </w:rPr>
        <w:t xml:space="preserve"> и поощряет сексуальную активность  в раннем возрасте, что может повлечь за собой недополучение детьми времени на подготовку к безопасной и здоровой сексуальной жизни </w:t>
      </w:r>
      <w:r>
        <w:rPr>
          <w:color w:val="000000"/>
          <w:shd w:fill="auto" w:val="clear"/>
        </w:rPr>
        <w:t>в детском возрасте или будучи взрослыми.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color w:val="000000"/>
          <w:shd w:fill="auto" w:val="clear"/>
        </w:rPr>
        <w:t xml:space="preserve">Более того, существуют определенные доказательства, чтобы полагать, что </w:t>
      </w:r>
      <w:r>
        <w:rPr>
          <w:color w:val="000000"/>
          <w:shd w:fill="auto" w:val="clear"/>
        </w:rPr>
        <w:t>предоставляя</w:t>
      </w:r>
      <w:r>
        <w:rPr>
          <w:color w:val="000000"/>
          <w:shd w:fill="auto" w:val="clear"/>
        </w:rPr>
        <w:t xml:space="preserve"> детям только научную информацию о сексе, можно нарушить их подготовку к  обсуждению сексуальных взаимоотношений. Это может сделать их более восприимчивыми к болезням, передающихся половым путем.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color w:val="000000"/>
          <w:shd w:fill="auto" w:val="clear"/>
        </w:rPr>
        <w:t xml:space="preserve">В 2002 году на специальной сессии ООН по детским проблемам была </w:t>
      </w:r>
      <w:r>
        <w:rPr>
          <w:color w:val="000000"/>
          <w:shd w:fill="auto" w:val="clear"/>
        </w:rPr>
        <w:t>проведена</w:t>
      </w:r>
      <w:r>
        <w:rPr>
          <w:color w:val="000000"/>
          <w:shd w:fill="auto" w:val="clear"/>
        </w:rPr>
        <w:t xml:space="preserve"> совместная к</w:t>
      </w:r>
      <w:r>
        <w:rPr>
          <w:color w:val="000000"/>
          <w:shd w:fill="auto" w:val="clear"/>
        </w:rPr>
        <w:t>а</w:t>
      </w:r>
      <w:r>
        <w:rPr>
          <w:color w:val="000000"/>
          <w:shd w:fill="auto" w:val="clear"/>
        </w:rPr>
        <w:t xml:space="preserve">мпания, инициированная в основном </w:t>
      </w:r>
      <w:r>
        <w:rPr>
          <w:b/>
          <w:bCs/>
          <w:color w:val="000000"/>
          <w:shd w:fill="auto" w:val="clear"/>
        </w:rPr>
        <w:t>США</w:t>
      </w:r>
      <w:r>
        <w:rPr>
          <w:color w:val="000000"/>
          <w:shd w:fill="auto" w:val="clear"/>
        </w:rPr>
        <w:t>, ограничивающая упоминания о сексе в финальной версии документа. Делегация США рассматривала воздержание как основную стратегию для предотвращения нежелательных беременностей, ВИЧ/СПИДа. Делегация Саудовской Аравии одобряет позицию США, основанную на сексуальном воздержании: «Самый лучший, если не единственный способ профилактики это целомудрие. Целомудрие и воздержание – решение номер один.»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b/>
          <w:bCs/>
          <w:shd w:fill="auto" w:val="clear"/>
        </w:rPr>
        <w:t>Впотьмах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>Общий комментарий № 3 комитета по правам человека, касающийся ВИЧ/ СПИДа, также выражает беспокойство по поводу дискриминации по признаку сексуальной ориентации. В нем подчеркивается, что «для того, чтобы эффективно предупреждать случаи  ВИЧ/СПИДа, государствам требуется воздерживаться от цензуры, приостановки или намеренного искажения информации, касающейся здоровья и сексуального воспитания. В соответствии с их обязательствами  по обеспечению права на жизнь и развитие ребенка (</w:t>
      </w:r>
      <w:hyperlink w:anchor="Six">
        <w:r>
          <w:rPr>
            <w:rStyle w:val="style16"/>
            <w:rStyle w:val="style16"/>
            <w:shd w:fill="auto" w:val="clear"/>
          </w:rPr>
          <w:t>параграф 6</w:t>
        </w:r>
      </w:hyperlink>
      <w:r>
        <w:rPr>
          <w:shd w:fill="auto" w:val="clear"/>
        </w:rPr>
        <w:t>), государства — участники должны давать детям возможность приобретать знания и навыки, чтобы защитить себя и других, когда они начинают выражать свою сексуальность».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 xml:space="preserve">Тем не менее, более 80 стран продолжают фиксировать однополые сексуальные отношения, согласно данным ЮНЭЙДС; другие стараются скрыть их существование от детей. В июне 2009 года, например, </w:t>
      </w:r>
      <w:r>
        <w:rPr>
          <w:b/>
          <w:bCs/>
          <w:shd w:fill="auto" w:val="clear"/>
        </w:rPr>
        <w:t>Литовский</w:t>
      </w:r>
      <w:r>
        <w:rPr>
          <w:shd w:fill="auto" w:val="clear"/>
        </w:rPr>
        <w:t xml:space="preserve"> парламент принял поправку, запрещающую обсуждение гомосексуальности в школах, «чтобы защитить детей», и любые ссылки на это в общественной информации, которая может быть доступна детям.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 xml:space="preserve">В прошлом году, </w:t>
      </w:r>
      <w:r>
        <w:rPr>
          <w:b/>
          <w:bCs/>
          <w:shd w:fill="auto" w:val="clear"/>
        </w:rPr>
        <w:t xml:space="preserve"> Уганда </w:t>
      </w:r>
      <w:r>
        <w:rPr>
          <w:shd w:fill="auto" w:val="clear"/>
        </w:rPr>
        <w:t>анонсировала законопроект, обуславливающий суровое наказание для людей, утверждающих что они лесбиянки, геи, бисексуалы или транссексуалы — а именно, пожизненное заключение, или, в некоторых случаях,  смертная казнь. Закон нарушает права детей ЛГБТ, так же как и детей с ВИЧ, и детей, кто только подозревается в принадлежности к сексуальным меньшинствам.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 xml:space="preserve">В то время как Анти-гомосексуальный закон оставлен без рассмотрения, атаки против гомосексуальных людей все возрастают, подстрекаемые репортажами в СМИ, публикующими детали о  людях, в гомосексуальность которых они верят. Кроме того, Премьер-министр </w:t>
      </w:r>
      <w:r>
        <w:rPr>
          <w:b/>
          <w:bCs/>
          <w:shd w:fill="auto" w:val="clear"/>
        </w:rPr>
        <w:t>Кении</w:t>
      </w:r>
      <w:r>
        <w:rPr>
          <w:shd w:fill="auto" w:val="clear"/>
        </w:rPr>
        <w:t xml:space="preserve"> Райла Одинга, на этой неделе объявил, что любой человек,  состоящий в гомосексуальных отношениях будет подвергнут судебному разбирательству.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b/>
          <w:bCs/>
          <w:shd w:fill="auto" w:val="clear"/>
        </w:rPr>
        <w:t>Колючая проволока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>В отчете ЮНЭЙДС также сообщается, как государства предпринимают попытки ограничить физические передвижения людей, живущих с ВИЧ: свободное путешествие для людей с ВИЧ ограничено в 51 стране, территориях и областях. Подобные законы не только дискриминируют и являются несправедливыми  - они также делают ВИЧ нелегальным и препятствуют усилиям по расширению доступа к жизненно-важной профилактике ВИЧ, лечению, уходу и поддержке. (с.10)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>Действительно, недавний отчет ЮНИСЕФ показал, что, в то время, как уровень инфицированности ВИЧ во всем мире падает, Восточная Европа и Центральная Азия страдают от увеличения роста инфекции, особенно среди молодых людей, в результате использования наркотиков, высоко рискованного сексуального поведения и социальной стигмы, которая служит препятствием получить лечение.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 xml:space="preserve">Наша </w:t>
      </w:r>
      <w:hyperlink r:id="rId3">
        <w:r>
          <w:rPr>
            <w:rStyle w:val="style16"/>
            <w:rStyle w:val="style16"/>
            <w:shd w:fill="auto" w:val="clear"/>
          </w:rPr>
          <w:t>редакционная статья</w:t>
        </w:r>
      </w:hyperlink>
      <w:r>
        <w:rPr>
          <w:shd w:fill="auto" w:val="clear"/>
        </w:rPr>
        <w:t xml:space="preserve"> о детях и использовании наркотиков показывает, что детьми пренебрегают при разработке наркополитики и связанных с этим программ, что делает их более восприимчивыми к ВИЧ и другим инфекциям. Профессор Пол Хант, бывший специальный репортер ООН по правам для достижения наиболее высокого стандарта здоровья, заметил, что  «дискриминация людей, употребляющих наркотики, может препятствовать усилиям по профилактике ВИЧ: люди не будут стремиться получить консультации по ВИЧ, делать тесты, проходить лечение и получать поддержку, если это означает дискриминацию, отсутствие личной жизни и конфиденциальности, отчуждение или, в некоторых случаях, лишение свободы».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>Дети дополнительно испытывают возрастную дискриминацию, когда пытаются получить конфиденциальную консультацию и / или медицинское обслуживание – Комитет по правам ребенка отметил в Заключительных замечаниях, что нужно установить конфиденциальные услуги для детей в некоторых государствах, включая Бахрейн, Грузию, Кирибати и Узбекистан, а также в других странах.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 xml:space="preserve">Существуют сведения о нарушении прав детей на конфиденциальность, в которых указывались случаи разглашения их ВИЧ статуса. В Великобритании, например, детей с ВИЧ исключали из начальных и средних школ, несмотря на нарушение законов против дискриминации. В одном случае, ребенок не знавший о своем состоянии, узнал об нем от своей учительницы. В соответствии с законом 2005 года о дискриминации инвалидов, дискриминация людей, живущих с ВИЧ, является незаконной. 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 xml:space="preserve">Национальный фонд борьбы со СПИДом  неоднократно просил о специальных рекомендациях по ВИЧ для учителей из Департамента по делам детей, школ и семей. Им было сказано, что у государств «нет планов» по обновлению существующего информационного блока для школ о том, как реализовать Закон, который лишь частично упоминает ВИЧ. </w:t>
      </w:r>
      <w:hyperlink r:id="rId4">
        <w:r>
          <w:rPr>
            <w:rStyle w:val="style16"/>
            <w:rStyle w:val="style16"/>
            <w:shd w:fill="auto" w:val="clear"/>
          </w:rPr>
          <w:t>Полная история.</w:t>
        </w:r>
      </w:hyperlink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 xml:space="preserve">* Дженнифер Китс и Катарин МакДональд, «Специальная сессия ООН по вопросам детей: права детей под угрозой», Журнал Канадской Медицинской Ассоциации, 30 Апреля, 2002 год, 166 (9), </w:t>
      </w:r>
      <w:hyperlink r:id="rId5">
        <w:r>
          <w:rPr>
            <w:rStyle w:val="style16"/>
            <w:rStyle w:val="style16"/>
            <w:shd w:fill="auto" w:val="clear"/>
          </w:rPr>
          <w:t>http://www.cmaj.ca/cgi/content/full/166/9/1155</w:t>
        </w:r>
      </w:hyperlink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b/>
          <w:shd w:fill="auto" w:val="clear"/>
        </w:rPr>
        <w:t>Дополнительная информация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28"/>
        <w:numPr>
          <w:ilvl w:val="0"/>
          <w:numId w:val="1"/>
        </w:numPr>
        <w:jc w:val="both"/>
      </w:pPr>
      <w:hyperlink r:id="rId6">
        <w:r>
          <w:rPr>
            <w:rStyle w:val="style16"/>
            <w:rStyle w:val="style16"/>
            <w:shd w:fill="auto" w:val="clear"/>
          </w:rPr>
          <w:t>Справочная публикация: Криминализация ВИЧ</w:t>
        </w:r>
      </w:hyperlink>
    </w:p>
    <w:p>
      <w:pPr>
        <w:pStyle w:val="style28"/>
        <w:numPr>
          <w:ilvl w:val="0"/>
          <w:numId w:val="1"/>
        </w:numPr>
        <w:jc w:val="both"/>
      </w:pPr>
      <w:hyperlink r:id="rId7">
        <w:r>
          <w:rPr>
            <w:rStyle w:val="style16"/>
            <w:rStyle w:val="style16"/>
            <w:shd w:fill="auto" w:val="clear"/>
          </w:rPr>
          <w:t>Справочная публикация: На финишную прямую: Молодежь и Всеобщий Доступ 2010</w:t>
        </w:r>
      </w:hyperlink>
    </w:p>
    <w:p>
      <w:pPr>
        <w:pStyle w:val="style28"/>
        <w:numPr>
          <w:ilvl w:val="0"/>
          <w:numId w:val="1"/>
        </w:numPr>
        <w:jc w:val="both"/>
      </w:pPr>
      <w:hyperlink r:id="rId8">
        <w:r>
          <w:rPr>
            <w:rStyle w:val="style16"/>
            <w:rStyle w:val="style16"/>
            <w:shd w:fill="auto" w:val="clear"/>
          </w:rPr>
          <w:t>Международные нормативы по ВИЧ/СПИД и Правам человека</w:t>
        </w:r>
      </w:hyperlink>
    </w:p>
    <w:p>
      <w:pPr>
        <w:pStyle w:val="style28"/>
        <w:numPr>
          <w:ilvl w:val="0"/>
          <w:numId w:val="1"/>
        </w:numPr>
        <w:jc w:val="both"/>
      </w:pPr>
      <w:hyperlink r:id="rId9">
        <w:r>
          <w:rPr>
            <w:rStyle w:val="style16"/>
            <w:rStyle w:val="style16"/>
            <w:shd w:fill="auto" w:val="clear"/>
          </w:rPr>
          <w:t>Международное техническое руководство по сексуальному воспитанию</w:t>
        </w:r>
      </w:hyperlink>
    </w:p>
    <w:p>
      <w:pPr>
        <w:pStyle w:val="style28"/>
        <w:numPr>
          <w:ilvl w:val="0"/>
          <w:numId w:val="1"/>
        </w:numPr>
        <w:jc w:val="both"/>
      </w:pPr>
      <w:hyperlink r:id="rId10">
        <w:r>
          <w:rPr>
            <w:rStyle w:val="style16"/>
            <w:rStyle w:val="style16"/>
            <w:shd w:fill="auto" w:val="clear"/>
          </w:rPr>
          <w:t>Глобальная коалиция молодежи по ВИЧ/СПИД</w:t>
        </w:r>
      </w:hyperlink>
    </w:p>
    <w:p>
      <w:pPr>
        <w:pStyle w:val="style0"/>
        <w:jc w:val="both"/>
      </w:pPr>
      <w:hyperlink r:id="rId11">
        <w:r>
          <w:rPr>
            <w:rStyle w:val="style16"/>
            <w:rStyle w:val="style16"/>
            <w:shd w:fill="auto" w:val="clear"/>
          </w:rPr>
          <w:t>Наверх</w:t>
        </w:r>
      </w:hyperlink>
    </w:p>
    <w:p>
      <w:pPr>
        <w:pStyle w:val="style0"/>
        <w:pBdr>
          <w:bottom w:color="00000A" w:space="0" w:sz="12" w:val="single"/>
        </w:pBdr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b/>
          <w:shd w:fill="auto" w:val="clear"/>
        </w:rPr>
        <w:t>ПОСЛЕДНИЕ НОВОСТИ И ОТЧЕТЫ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b/>
          <w:shd w:fill="auto" w:val="clear"/>
        </w:rPr>
        <w:t xml:space="preserve">Права детей, сводка новостей о ВИЧ и СПИДе 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b/>
          <w:shd w:fill="auto" w:val="clear"/>
        </w:rPr>
        <w:t>Восточная Европа и Центральная Азия:</w:t>
      </w:r>
      <w:r>
        <w:rPr>
          <w:shd w:fill="auto" w:val="clear"/>
        </w:rPr>
        <w:t xml:space="preserve"> Скрытая эпидемия ВИЧ увеличивается волнующими темпами, чему способствует употребление наркотиков, рискованное сексуальное поведение и высокий уровень социальной стигмы, что мешает людям получать информацию о профилактике и лечении, согласно отчету, опубликованному ЮНИСЕФ. </w:t>
      </w:r>
      <w:hyperlink r:id="rId12">
        <w:r>
          <w:rPr>
            <w:rStyle w:val="style16"/>
            <w:rStyle w:val="style16"/>
            <w:shd w:fill="auto" w:val="clear"/>
          </w:rPr>
          <w:t>Скачать отчет.</w:t>
        </w:r>
      </w:hyperlink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 xml:space="preserve">Дискриминация достигла апогея в Китае на этой неделе, когда суд вынес решение против мужчины, который сказал, что ему отказали в работе учителя после того, как его потенциальный работодатель узнал, что он ВИЧ–положительный. Между тем, в Пекине, благотворительная организация , занимающаяся детьми со СПИДом, основанная заключенным Ху Джиа, на этой неделе объявила о своем закрытии после повторной проверки налоговыми органами, сообщает Нью-Йорк Таймс. </w:t>
      </w:r>
      <w:hyperlink r:id="rId13">
        <w:r>
          <w:rPr>
            <w:rStyle w:val="style16"/>
            <w:rStyle w:val="style16"/>
            <w:shd w:fill="auto" w:val="clear"/>
          </w:rPr>
          <w:t>Полная история</w:t>
        </w:r>
      </w:hyperlink>
      <w:r>
        <w:rPr>
          <w:u w:val="single"/>
          <w:shd w:fill="auto" w:val="clear"/>
        </w:rPr>
        <w:t>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>В Соединенных Штатах, прогресс в борьбе против СПИДа на юге Соединенных Штатов также заблокирован  государственными законами и политикой, которые навязывают неэффективные подходы, стигму и дискриминацию против людей, живущих с ВИЧ, по данным Организации надзора за соблюдением прав и свобод человека.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>В отчете, «Южное направление: ВИЧ и права человека в Южной Америке », Организации надзора за соблюдением прав и свобод человека подтверждает, что случаи подрывают здоровье населения и прогресс по борьбе с ВИЧ в регионе, где эпидемия растет самыми быстрыми темпами в стране.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 xml:space="preserve">В то время как </w:t>
      </w:r>
      <w:r>
        <w:rPr>
          <w:b/>
          <w:shd w:fill="auto" w:val="clear"/>
        </w:rPr>
        <w:t xml:space="preserve">Индия </w:t>
      </w:r>
      <w:r>
        <w:rPr>
          <w:shd w:fill="auto" w:val="clear"/>
        </w:rPr>
        <w:t xml:space="preserve">остановила эпидемию СПИДа, «попытка предотвратить передачу ВИЧ от матери к ребенку провалилась», говорит Индийское общество по СПИДу, профессиональная организация врачей, специализирующихся на помощи ВИЧ-инфицированным, согласно </w:t>
      </w:r>
      <w:r>
        <w:rPr>
          <w:shd w:fill="auto" w:val="clear"/>
          <w:lang w:val="en-US"/>
        </w:rPr>
        <w:t>SIFY</w:t>
      </w:r>
      <w:r>
        <w:rPr>
          <w:shd w:fill="auto" w:val="clear"/>
        </w:rPr>
        <w:t xml:space="preserve"> Ньюз. </w:t>
      </w:r>
      <w:r>
        <w:rPr>
          <w:rStyle w:val="style16"/>
          <w:shd w:fill="auto" w:val="clear"/>
        </w:rPr>
        <w:t>Полная история.</w:t>
      </w:r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  <w:t xml:space="preserve">Между тем, в </w:t>
      </w:r>
      <w:r>
        <w:rPr>
          <w:b/>
          <w:shd w:fill="auto" w:val="clear"/>
        </w:rPr>
        <w:t xml:space="preserve">Замбии </w:t>
      </w:r>
      <w:r>
        <w:rPr>
          <w:shd w:fill="auto" w:val="clear"/>
        </w:rPr>
        <w:t xml:space="preserve">менее, чем один ребенок из четырех, нуждающихся в поддерживающих жизнь антиретровирусных препаратах, получает их. В стране было запланировано повысить число детей, получающих  АРВ - препараты от настоящих 20 000 до 120 000, но отсутствие достаточных ресурсов является главным камнем преткновения, сообщает Интре-Пресс служба новостей. </w:t>
      </w:r>
      <w:hyperlink r:id="rId14">
        <w:r>
          <w:rPr>
            <w:rStyle w:val="style16"/>
            <w:rStyle w:val="style16"/>
            <w:shd w:fill="auto" w:val="clear"/>
          </w:rPr>
          <w:t>Полная история.</w:t>
        </w:r>
      </w:hyperlink>
    </w:p>
    <w:p>
      <w:pPr>
        <w:pStyle w:val="style0"/>
        <w:jc w:val="both"/>
      </w:pPr>
      <w:r>
        <w:rPr>
          <w:shd w:fill="auto" w:val="clear"/>
        </w:rPr>
      </w:r>
    </w:p>
    <w:p>
      <w:pPr>
        <w:pStyle w:val="style0"/>
        <w:spacing w:line="360" w:lineRule="auto"/>
        <w:jc w:val="both"/>
      </w:pPr>
      <w:r>
        <w:rPr>
          <w:shd w:fill="auto" w:val="clear"/>
        </w:rPr>
      </w:r>
    </w:p>
    <w:p>
      <w:pPr>
        <w:pStyle w:val="style0"/>
        <w:jc w:val="both"/>
      </w:pPr>
      <w:r>
        <w:rPr>
          <w:shd w:fill="auto" w:val="clear"/>
        </w:rPr>
      </w:r>
    </w:p>
    <w:sectPr>
      <w:type w:val="nextPage"/>
      <w:pgSz w:h="16838" w:w="11906"/>
      <w:pgMar w:bottom="539" w:footer="0" w:gutter="0" w:header="0" w:left="720" w:right="566" w:top="540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en-GB" w:eastAsia="en-GB" w:val="en-GB"/>
    </w:rPr>
  </w:style>
  <w:style w:styleId="style17" w:type="character">
    <w:name w:val="FollowedHyperlink"/>
    <w:basedOn w:val="style15"/>
    <w:next w:val="style17"/>
    <w:rPr>
      <w:color w:val="800080"/>
      <w:u w:val="single"/>
    </w:rPr>
  </w:style>
  <w:style w:styleId="style18" w:type="character">
    <w:name w:val="Текст выноски Знак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ListLabel 1"/>
    <w:next w:val="style19"/>
    <w:rPr>
      <w:rFonts w:cs="Courier New"/>
    </w:rPr>
  </w:style>
  <w:style w:styleId="style20" w:type="character">
    <w:name w:val="ListLabel 2"/>
    <w:next w:val="style20"/>
    <w:rPr>
      <w:rFonts w:cs="Symbol"/>
    </w:rPr>
  </w:style>
  <w:style w:styleId="style21" w:type="character">
    <w:name w:val="ListLabel 3"/>
    <w:next w:val="style21"/>
    <w:rPr>
      <w:rFonts w:cs="Courier New"/>
    </w:rPr>
  </w:style>
  <w:style w:styleId="style22" w:type="character">
    <w:name w:val="ListLabel 4"/>
    <w:next w:val="style22"/>
    <w:rPr>
      <w:rFonts w:cs="Wingdings"/>
    </w:rPr>
  </w:style>
  <w:style w:styleId="style23" w:type="paragraph">
    <w:name w:val="Heading"/>
    <w:basedOn w:val="style0"/>
    <w:next w:val="style24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24" w:type="paragraph">
    <w:name w:val="Text body"/>
    <w:basedOn w:val="style0"/>
    <w:next w:val="style24"/>
    <w:pPr>
      <w:spacing w:after="120" w:before="0"/>
    </w:pPr>
    <w:rPr/>
  </w:style>
  <w:style w:styleId="style25" w:type="paragraph">
    <w:name w:val="List"/>
    <w:basedOn w:val="style24"/>
    <w:next w:val="style25"/>
    <w:pPr/>
    <w:rPr>
      <w:rFonts w:cs="Lohit Hindi"/>
    </w:rPr>
  </w:style>
  <w:style w:styleId="style26" w:type="paragraph">
    <w:name w:val="Caption"/>
    <w:basedOn w:val="style0"/>
    <w:next w:val="style26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7" w:type="paragraph">
    <w:name w:val="Index"/>
    <w:basedOn w:val="style0"/>
    <w:next w:val="style27"/>
    <w:pPr>
      <w:suppressLineNumbers/>
    </w:pPr>
    <w:rPr>
      <w:rFonts w:cs="Lohit Hindi"/>
    </w:rPr>
  </w:style>
  <w:style w:styleId="style28" w:type="paragraph">
    <w:name w:val="List Paragraph"/>
    <w:basedOn w:val="style0"/>
    <w:next w:val="style28"/>
    <w:pPr>
      <w:ind w:hanging="0" w:left="720" w:right="0"/>
    </w:pPr>
    <w:rPr/>
  </w:style>
  <w:style w:styleId="style29" w:type="paragraph">
    <w:name w:val="Revision"/>
    <w:next w:val="style29"/>
    <w:pPr>
      <w:widowControl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30" w:type="paragraph">
    <w:name w:val="Balloon Text"/>
    <w:basedOn w:val="style0"/>
    <w:next w:val="style30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in.org/email/crinmail_detail_popup.asp?crinmailID=3427" TargetMode="External"/><Relationship Id="rId3" Type="http://schemas.openxmlformats.org/officeDocument/2006/relationships/hyperlink" Target="http://www.crin.org/resources/infoDetail.asp?ID=27473&amp;flag=report" TargetMode="External"/><Relationship Id="rId4" Type="http://schemas.openxmlformats.org/officeDocument/2006/relationships/hyperlink" Target="http://www.crin.org/resources/infoDetail.asp?ID=17859&amp;flag=news" TargetMode="External"/><Relationship Id="rId5" Type="http://schemas.openxmlformats.org/officeDocument/2006/relationships/hyperlink" Target="http://www.cmaj.ca/cgi/content/full/166/9/1155" TargetMode="External"/><Relationship Id="rId6" Type="http://schemas.openxmlformats.org/officeDocument/2006/relationships/hyperlink" Target="http://www.tigweb.org/images/resources/tool/docs/2795.pdf" TargetMode="External"/><Relationship Id="rId7" Type="http://schemas.openxmlformats.org/officeDocument/2006/relationships/hyperlink" Target="http://www.tigweb.org/images/resources/tool/docs/2797.pdf" TargetMode="External"/><Relationship Id="rId8" Type="http://schemas.openxmlformats.org/officeDocument/2006/relationships/hyperlink" Target="http://www2.ohchr.org/english/issues/hiv/guidelines.htm" TargetMode="External"/><Relationship Id="rId9" Type="http://schemas.openxmlformats.org/officeDocument/2006/relationships/hyperlink" Target="http://unesdoc.unesco.org/images/0018/001832/183281e.pdf" TargetMode="External"/><Relationship Id="rId10" Type="http://schemas.openxmlformats.org/officeDocument/2006/relationships/hyperlink" Target="http://gyca.tigweb.org/" TargetMode="External"/><Relationship Id="rId11" Type="http://schemas.openxmlformats.org/officeDocument/2006/relationships/hyperlink" Target="http://www.crin.org/email/crinmail_detail_popup.asp?crinmailID=3427" TargetMode="External"/><Relationship Id="rId12" Type="http://schemas.openxmlformats.org/officeDocument/2006/relationships/hyperlink" Target="http://www.hrw.org/en/news/2010/11/26/us-southern-policies-fuel-hiv-epidemic" TargetMode="External"/><Relationship Id="rId13" Type="http://schemas.openxmlformats.org/officeDocument/2006/relationships/hyperlink" Target="http://www.nytimes.com/2010/11/13/world/asia/13china.html?_r=1&amp;partner=rss&amp;emc=rss" TargetMode="External"/><Relationship Id="rId14" Type="http://schemas.openxmlformats.org/officeDocument/2006/relationships/hyperlink" Target="http://www.ipsnews.net/news.asp?idnews=53690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LibreOffice/3.4$Linux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2012-03-19T17:35:00.00Z</dcterms:created>
  <dc:creator>User</dc:creator>
  <cp:lastModifiedBy>User</cp:lastModifiedBy>
  <dcterms:modified xsi:type="dcterms:W3CDTF">2012-03-19T20:12:00.00Z</dcterms:modified>
  <cp:revision>40</cp:revision>
</cp:coreProperties>
</file>