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Normal"/>
        <w:widowControl w:val="false"/>
        <w:spacing w:lineRule="auto" w:line="276" w:before="0" w:after="200"/>
        <w:jc w:val="left"/>
        <w:rPr/>
      </w:pPr>
      <w:bookmarkStart w:id="0" w:name="h.2b3lawlxbvs4"/>
      <w:bookmarkStart w:id="1" w:name="h.2b3lawlxbvs4"/>
      <w:bookmarkEnd w:id="1"/>
      <w:r>
        <w:rPr/>
      </w:r>
    </w:p>
    <w:p>
      <w:pPr>
        <w:pStyle w:val="Normal"/>
        <w:widowControl w:val="false"/>
        <w:spacing w:lineRule="auto" w:line="276" w:before="0" w:after="200"/>
        <w:jc w:val="center"/>
        <w:rPr>
          <w:rFonts w:eastAsia="Times New Roman" w:cs="Times New Roman" w:ascii="Times New Roman" w:hAnsi="Times New Roman"/>
          <w:b/>
          <w:sz w:val="24"/>
          <w:u w:val="single"/>
        </w:rPr>
      </w:pPr>
      <w:bookmarkStart w:id="2" w:name="h.8ofk3h3t1czg"/>
      <w:bookmarkEnd w:id="2"/>
      <w:r>
        <w:rPr>
          <w:rFonts w:eastAsia="Times New Roman" w:cs="Times New Roman" w:ascii="Times New Roman" w:hAnsi="Times New Roman"/>
          <w:b/>
          <w:sz w:val="24"/>
          <w:u w:val="single"/>
        </w:rPr>
        <w:t>ACCÈS DES ENFANTS À LA JUSTICE : [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u w:val="single"/>
          <w:shd w:fill="FFFF00" w:val="clear"/>
        </w:rPr>
        <w:t>PAYS</w:t>
      </w:r>
      <w:r>
        <w:rPr>
          <w:rFonts w:eastAsia="Times New Roman" w:cs="Times New Roman" w:ascii="Times New Roman" w:hAnsi="Times New Roman"/>
          <w:b/>
          <w:sz w:val="24"/>
          <w:u w:val="single"/>
        </w:rPr>
        <w:t>]</w:t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0"/>
        <w:ind w:left="720" w:right="0" w:firstLine="360"/>
        <w:contextualSpacing/>
        <w:jc w:val="both"/>
        <w:rPr>
          <w:rFonts w:eastAsia="Times New Roman" w:cs="Times New Roman" w:ascii="Times New Roman" w:hAnsi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Quel est le statut juridique de la Convention relative aux droits de l'enfant (CDE) ?</w:t>
      </w:r>
    </w:p>
    <w:p>
      <w:pPr>
        <w:pStyle w:val="Normal"/>
        <w:widowControl w:val="false"/>
        <w:spacing w:lineRule="auto" w:line="276" w:before="0" w:after="0"/>
        <w:ind w:left="0" w:right="0" w:hanging="0"/>
        <w:jc w:val="both"/>
        <w:rPr>
          <w:rFonts w:eastAsia="Times New Roman" w:cs="Times New Roman" w:ascii="Times New Roman" w:hAnsi="Times New Roman"/>
          <w:sz w:val="24"/>
          <w:u w:val="single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ab/>
        <w:t xml:space="preserve"> </w:t>
        <w:tab/>
        <w:t xml:space="preserve"> </w:t>
        <w:tab/>
        <w:t xml:space="preserve"> </w:t>
        <w:tab/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ind w:left="1815" w:right="0" w:firstLine="360"/>
        <w:contextualSpacing/>
        <w:jc w:val="both"/>
        <w:rPr>
          <w:rFonts w:eastAsia="Times New Roman" w:cs="Times New Roman" w:ascii="Times New Roman" w:hAnsi="Times New Roman"/>
          <w:sz w:val="24"/>
          <w:u w:val="single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>Quel est le statut dans le système juridique national de la CDE et des autres instruments de droit international pertinents ?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ind w:left="1815" w:right="0" w:firstLine="360"/>
        <w:contextualSpacing/>
        <w:jc w:val="both"/>
        <w:rPr>
          <w:rFonts w:eastAsia="Times New Roman" w:cs="Times New Roman" w:ascii="Times New Roman" w:hAnsi="Times New Roman"/>
          <w:sz w:val="24"/>
          <w:u w:val="single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 xml:space="preserve">La </w:t>
        <w:tab/>
        <w:t xml:space="preserve">CDE prévaut-elle sur les lois nationales?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ind w:left="1815" w:right="0" w:firstLine="360"/>
        <w:contextualSpacing/>
        <w:jc w:val="both"/>
        <w:rPr>
          <w:rFonts w:eastAsia="Times New Roman" w:cs="Times New Roman" w:ascii="Times New Roman" w:hAnsi="Times New Roman"/>
          <w:sz w:val="24"/>
          <w:u w:val="single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>Le CDE a-t-elle été incorporée dans le droit national?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ind w:left="1815" w:right="0" w:firstLine="360"/>
        <w:contextualSpacing/>
        <w:jc w:val="both"/>
        <w:rPr>
          <w:rFonts w:eastAsia="Times New Roman" w:cs="Times New Roman" w:ascii="Times New Roman" w:hAnsi="Times New Roman"/>
          <w:sz w:val="24"/>
          <w:u w:val="single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 xml:space="preserve">La </w:t>
        <w:tab/>
        <w:t>CDE peut-elle être appliquée directement par les tribunaux ?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ind w:left="1815" w:right="0" w:firstLine="360"/>
        <w:contextualSpacing/>
        <w:jc w:val="both"/>
        <w:rPr>
          <w:rFonts w:eastAsia="Times New Roman" w:cs="Times New Roman" w:ascii="Times New Roman" w:hAnsi="Times New Roman"/>
          <w:sz w:val="24"/>
          <w:u w:val="single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>Y a-t-il des exemples d’application de la CDE ou d’autres instruments internationaux pertinents par des tribunaux?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0"/>
        <w:ind w:left="720" w:right="0" w:firstLine="360"/>
        <w:contextualSpacing/>
        <w:jc w:val="both"/>
        <w:rPr>
          <w:rFonts w:eastAsia="Times New Roman" w:cs="Times New Roman" w:ascii="Times New Roman" w:hAnsi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Quel est le statut juridique de l'enfant ?</w:t>
      </w:r>
    </w:p>
    <w:p>
      <w:pPr>
        <w:pStyle w:val="Normal"/>
        <w:widowControl w:val="false"/>
        <w:spacing w:lineRule="auto" w:line="276" w:before="0" w:after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ind w:left="1815" w:right="0" w:firstLine="360"/>
        <w:contextualSpacing/>
        <w:jc w:val="both"/>
        <w:rPr>
          <w:rFonts w:eastAsia="Times New Roman" w:cs="Times New Roman" w:ascii="Times New Roman" w:hAnsi="Times New Roman"/>
          <w:sz w:val="24"/>
          <w:u w:val="single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 xml:space="preserve">Les enfants et/ou leurs représentants peuvent-ils porter une plainte devant les tribunaux nationaux pour atteinte aux droits de l’enfant ? </w:t>
        <w:tab/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ind w:left="1815" w:right="0" w:firstLine="360"/>
        <w:contextualSpacing/>
        <w:jc w:val="both"/>
        <w:rPr>
          <w:rFonts w:eastAsia="Times New Roman" w:cs="Times New Roman" w:ascii="Times New Roman" w:hAnsi="Times New Roman"/>
          <w:sz w:val="24"/>
          <w:u w:val="single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 xml:space="preserve">Si c’est le cas, les enfants de tous âges peuvent-ils amener une affaire devant les tribunaux en leur propre nom/pour leur propre compte, ou bien ces affaires doivent-elles être portées par l’intermédiaire d’un représentant?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ind w:left="1815" w:right="0" w:firstLine="360"/>
        <w:contextualSpacing/>
        <w:jc w:val="both"/>
        <w:rPr>
          <w:rFonts w:eastAsia="Times New Roman" w:cs="Times New Roman" w:ascii="Times New Roman" w:hAnsi="Times New Roman"/>
          <w:sz w:val="24"/>
          <w:u w:val="single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 xml:space="preserve">Dans le cas de nourrissons ou d’enfants en bas âge, comment l’action en justice est-elle normalement intentée ?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ind w:left="1815" w:right="0" w:firstLine="360"/>
        <w:contextualSpacing/>
        <w:jc w:val="both"/>
        <w:rPr>
          <w:rFonts w:eastAsia="Times New Roman" w:cs="Times New Roman" w:ascii="Times New Roman" w:hAnsi="Times New Roman"/>
          <w:sz w:val="24"/>
          <w:u w:val="single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>Les enfants ou leurs représentants sont-ils éligibles à une assistance juridique gratuite ou subventionnée en intentant ce genre de procédures ?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5"/>
        </w:numPr>
        <w:spacing w:lineRule="auto" w:line="240" w:before="0" w:after="0"/>
        <w:ind w:left="1815" w:right="0" w:firstLine="360"/>
        <w:contextualSpacing/>
        <w:jc w:val="both"/>
        <w:rPr>
          <w:rFonts w:eastAsia="Times New Roman" w:cs="Times New Roman" w:ascii="Times New Roman" w:hAnsi="Times New Roman"/>
          <w:sz w:val="24"/>
          <w:u w:val="single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 xml:space="preserve">Existe-t-il d'autres conditions ou limitations pour qu’un enfant ou son représentant légal intente des actions en justice (par exemple, l’accord des parents ou du tuteur de l'enfant est-il nécessaire) ?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0"/>
        <w:ind w:left="720" w:right="0" w:firstLine="360"/>
        <w:contextualSpacing/>
        <w:jc w:val="both"/>
        <w:rPr>
          <w:rFonts w:eastAsia="Times New Roman" w:cs="Times New Roman" w:ascii="Times New Roman" w:hAnsi="Times New Roman"/>
          <w:b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u w:val="single"/>
        </w:rPr>
        <w:t>Comment porter plainte pour des violations des droits de l’enfant devant les tribunaux nationaux ?</w:t>
      </w:r>
    </w:p>
    <w:p>
      <w:pPr>
        <w:pStyle w:val="Normal"/>
        <w:widowControl w:val="false"/>
        <w:spacing w:lineRule="auto" w:line="276" w:before="0" w:after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ind w:left="2160" w:right="0" w:firstLine="1800"/>
        <w:contextualSpacing/>
        <w:rPr>
          <w:rFonts w:eastAsia="Times New Roman" w:cs="Times New Roman" w:ascii="Times New Roman" w:hAnsi="Times New Roman"/>
          <w:sz w:val="24"/>
          <w:u w:val="single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 xml:space="preserve">Comment une procédure juridique peut-elle être engagée dans le cas d’une </w:t>
        <w:tab/>
        <w:t xml:space="preserve">violation potentielle de la Constitution, d'autres principes établis en droit interne, de la CDE ou d'autres instruments pertinents internationaux/ régionaux ratifiés ? </w:t>
      </w:r>
    </w:p>
    <w:p>
      <w:pPr>
        <w:pStyle w:val="Normal"/>
        <w:widowControl w:val="false"/>
        <w:spacing w:lineRule="auto" w:line="276" w:before="0" w:after="0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ind w:left="2160" w:right="0" w:firstLine="1800"/>
        <w:contextualSpacing/>
        <w:rPr>
          <w:rFonts w:eastAsia="Times New Roman" w:cs="Times New Roman" w:ascii="Times New Roman" w:hAnsi="Times New Roman"/>
          <w:sz w:val="24"/>
          <w:u w:val="single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>Quels sont les pouvoirs des tribunaux pour examiner ces violations, et quels recours et remèdes peuvent-ils offrir ?</w:t>
      </w:r>
    </w:p>
    <w:p>
      <w:pPr>
        <w:pStyle w:val="Normal"/>
        <w:widowControl w:val="false"/>
        <w:spacing w:lineRule="auto" w:line="276" w:before="0" w:after="0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ind w:left="2160" w:right="0" w:firstLine="1800"/>
        <w:contextualSpacing/>
        <w:rPr>
          <w:rFonts w:eastAsia="Times New Roman" w:cs="Times New Roman" w:ascii="Times New Roman" w:hAnsi="Times New Roman"/>
          <w:sz w:val="24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 xml:space="preserve">Une telle poursuite devra-t-elle impliquer directement une ou plusieurs </w:t>
        <w:tab/>
        <w:t xml:space="preserve">victimes mineures, ou est-il possible de contester une loi ou une </w:t>
        <w:tab/>
        <w:tab/>
        <w:t>action sans nommer une victime spécifique ?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widowControl w:val="false"/>
        <w:spacing w:lineRule="auto" w:line="276" w:before="0" w:after="0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ind w:left="2160" w:right="0" w:firstLine="1800"/>
        <w:contextualSpacing/>
        <w:rPr>
          <w:rFonts w:eastAsia="Times New Roman" w:cs="Times New Roman" w:ascii="Times New Roman" w:hAnsi="Times New Roman"/>
          <w:sz w:val="24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 xml:space="preserve">Est-il possible d’intenter une forme quelconque d'action collective ou de </w:t>
        <w:tab/>
        <w:t>litige de groupe en nommant ou sans nommer de victimes mineures individuelles ?</w:t>
      </w:r>
      <w:r>
        <w:rPr>
          <w:rFonts w:eastAsia="Times New Roman" w:cs="Times New Roman" w:ascii="Times New Roman" w:hAnsi="Times New Roman"/>
          <w:sz w:val="24"/>
        </w:rPr>
        <w:t xml:space="preserve"> </w:t>
        <w:tab/>
        <w:tab/>
        <w:t xml:space="preserve"> </w:t>
      </w:r>
    </w:p>
    <w:p>
      <w:pPr>
        <w:pStyle w:val="Normal"/>
        <w:widowControl w:val="false"/>
        <w:spacing w:lineRule="auto" w:line="276" w:before="0" w:after="0"/>
        <w:rPr>
          <w:rFonts w:eastAsia="Times New Roman" w:cs="Times New Roman" w:ascii="Times New Roman" w:hAnsi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ab/>
        <w:tab/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ind w:left="2160" w:right="0" w:firstLine="1800"/>
        <w:contextualSpacing/>
        <w:rPr>
          <w:rFonts w:eastAsia="Times New Roman" w:cs="Times New Roman" w:ascii="Times New Roman" w:hAnsi="Times New Roman"/>
          <w:sz w:val="24"/>
          <w:u w:val="single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>Les organisations non gouvernementales sont-elles autorisées à intenter une action en justice pour une violation potentielle des droits de l’enfant ?  Sont-elles autorisées à intervenir dans des recours qui ont déjà été déposés ?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0"/>
        <w:ind w:left="720" w:right="0" w:firstLine="360"/>
        <w:contextualSpacing/>
        <w:jc w:val="both"/>
        <w:rPr>
          <w:rFonts w:eastAsia="Times New Roman" w:cs="Times New Roman" w:ascii="Times New Roman" w:hAnsi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  <w:u w:val="single"/>
        </w:rPr>
        <w:t xml:space="preserve">Considérations pratiques : </w:t>
      </w:r>
      <w:r>
        <w:rPr>
          <w:rFonts w:eastAsia="Times New Roman" w:cs="Times New Roman" w:ascii="Times New Roman" w:hAnsi="Times New Roman"/>
          <w:sz w:val="24"/>
        </w:rPr>
        <w:t>Veuillez détailler les questions pratiques, risques et incertitudes pratiques qui doivent être prises en considération dans une poursuite pour atteinte aux droits de l'enfant, notamment en qui concerne :</w:t>
      </w:r>
      <w:r>
        <w:rPr>
          <w:rFonts w:eastAsia="Times New Roman" w:cs="Times New Roman" w:ascii="Times New Roman" w:hAnsi="Times New Roman"/>
          <w:b/>
          <w:sz w:val="24"/>
        </w:rPr>
        <w:tab/>
      </w:r>
    </w:p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/>
      </w:r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0"/>
        <w:ind w:left="2250" w:right="0" w:firstLine="360"/>
        <w:contextualSpacing/>
        <w:rPr>
          <w:rFonts w:eastAsia="Times New Roman" w:cs="Times New Roman" w:ascii="Times New Roman" w:hAnsi="Times New Roman"/>
          <w:sz w:val="24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>Lieu du procès :</w:t>
      </w:r>
      <w:r>
        <w:rPr>
          <w:rFonts w:eastAsia="Times New Roman" w:cs="Times New Roman" w:ascii="Times New Roman" w:hAnsi="Times New Roman"/>
          <w:sz w:val="24"/>
        </w:rPr>
        <w:t xml:space="preserve"> Par quels tribunaux (par exemple, civil, pénal, administratif, etc.) une affaire peut-elle être entendue ? Que requiert le dépôt initial du recours ?</w:t>
      </w:r>
    </w:p>
    <w:p>
      <w:pPr>
        <w:pStyle w:val="Normal"/>
        <w:widowControl w:val="false"/>
        <w:spacing w:lineRule="auto" w:line="276" w:before="0" w:after="0"/>
        <w:rPr/>
      </w:pPr>
      <w:r>
        <w:rPr/>
      </w:r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0"/>
        <w:ind w:left="2250" w:right="0" w:firstLine="360"/>
        <w:contextualSpacing/>
        <w:rPr>
          <w:rFonts w:eastAsia="Times New Roman" w:cs="Times New Roman" w:ascii="Times New Roman" w:hAnsi="Times New Roman"/>
          <w:sz w:val="24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>Aide juridique/frais juridiques :</w:t>
      </w:r>
      <w:r>
        <w:rPr>
          <w:rFonts w:eastAsia="Times New Roman" w:cs="Times New Roman" w:ascii="Times New Roman" w:hAnsi="Times New Roman"/>
          <w:sz w:val="24"/>
        </w:rPr>
        <w:t xml:space="preserve"> Sous quelles conditions le système juridique rend disponible une aide juridictionnelle gratuite ou subventionnée pour les plaignants mineurs ou leurs représentants (c.-à-d., l’affaire doit-elle présenter une question juridique importante ou présenter une certaine probabilité de succès) ? Les plaignants mineurs ou leurs représentants devront-ils s’acquitter des frais juridiques ou couvrir d'autres dépenses ? </w:t>
        <w:tab/>
      </w:r>
    </w:p>
    <w:p>
      <w:pPr>
        <w:pStyle w:val="Normal"/>
        <w:widowControl w:val="false"/>
        <w:spacing w:lineRule="auto" w:line="276" w:before="0" w:after="0"/>
        <w:rPr/>
      </w:pPr>
      <w:r>
        <w:rPr/>
      </w:r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0"/>
        <w:ind w:left="2250" w:right="0" w:firstLine="360"/>
        <w:contextualSpacing/>
        <w:rPr>
          <w:rFonts w:eastAsia="Times New Roman" w:cs="Times New Roman" w:ascii="Times New Roman" w:hAnsi="Times New Roman"/>
          <w:sz w:val="24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>Pro Bono/financement :</w:t>
      </w:r>
      <w:r>
        <w:rPr>
          <w:rFonts w:eastAsia="Times New Roman" w:cs="Times New Roman" w:ascii="Times New Roman" w:hAnsi="Times New Roman"/>
          <w:sz w:val="24"/>
        </w:rPr>
        <w:t xml:space="preserve"> Si l’aide juridictionnelle n'est pas disponible, les plaignants mineurs ou leurs représentants ont-il la possibilité d’obtenir une aide Pro Bono de la part d’avocats, par le biais d’une organisation des droits de l’enfant, ou aux termes d'un accord qui n'exige pas le paiement d’honoraires à l’avance ?</w:t>
      </w:r>
    </w:p>
    <w:p>
      <w:pPr>
        <w:pStyle w:val="Normal"/>
        <w:widowControl w:val="false"/>
        <w:spacing w:lineRule="auto" w:line="276" w:before="0" w:after="0"/>
        <w:rPr/>
      </w:pPr>
      <w:r>
        <w:rPr/>
      </w:r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0"/>
        <w:ind w:left="2250" w:right="0" w:firstLine="360"/>
        <w:contextualSpacing/>
        <w:rPr>
          <w:rFonts w:eastAsia="Times New Roman" w:cs="Times New Roman" w:ascii="Times New Roman" w:hAnsi="Times New Roman"/>
          <w:sz w:val="24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>Délais :</w:t>
      </w:r>
      <w:r>
        <w:rPr>
          <w:rFonts w:eastAsia="Times New Roman" w:cs="Times New Roman" w:ascii="Times New Roman" w:hAnsi="Times New Roman"/>
          <w:sz w:val="24"/>
        </w:rPr>
        <w:t xml:space="preserve"> Combien de temps après une violation un recours peut-il être déposé ? Y-a-t-il des dispositions spéciales qui permettent à de jeunes adultes de porter plainte pour des atteintes à leurs droits qui se sont produites quand ils étaient mineurs ?</w:t>
      </w:r>
    </w:p>
    <w:p>
      <w:pPr>
        <w:pStyle w:val="Normal"/>
        <w:widowControl w:val="false"/>
        <w:spacing w:lineRule="auto" w:line="276" w:before="0" w:after="0"/>
        <w:rPr/>
      </w:pPr>
      <w:r>
        <w:rPr/>
      </w:r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0"/>
        <w:ind w:left="2250" w:right="0" w:firstLine="360"/>
        <w:contextualSpacing/>
        <w:rPr>
          <w:rFonts w:eastAsia="Times New Roman" w:cs="Times New Roman" w:ascii="Times New Roman" w:hAnsi="Times New Roman"/>
          <w:sz w:val="24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>Preuves :</w:t>
      </w:r>
      <w:r>
        <w:rPr>
          <w:rFonts w:eastAsia="Times New Roman" w:cs="Times New Roman" w:ascii="Times New Roman" w:hAnsi="Times New Roman"/>
          <w:sz w:val="24"/>
        </w:rPr>
        <w:t xml:space="preserve"> Quelles sortes de preuve sont recevables/requises pour prouver qu’une violation a eu lieu ? Existe-t-il des règles, des procédures, ou des pratiques particulières pour traiter les éléments de preuve produits ou présentés par des enfants ? </w:t>
        <w:tab/>
        <w:tab/>
        <w:t xml:space="preserve"> </w:t>
        <w:tab/>
        <w:tab/>
      </w:r>
    </w:p>
    <w:p>
      <w:pPr>
        <w:pStyle w:val="Normal"/>
        <w:widowControl w:val="false"/>
        <w:spacing w:lineRule="auto" w:line="276" w:before="0" w:after="0"/>
        <w:rPr/>
      </w:pPr>
      <w:r>
        <w:rPr/>
      </w:r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0"/>
        <w:ind w:left="2250" w:right="0" w:firstLine="360"/>
        <w:contextualSpacing/>
        <w:rPr>
          <w:rFonts w:eastAsia="Times New Roman" w:cs="Times New Roman" w:ascii="Times New Roman" w:hAnsi="Times New Roman"/>
          <w:sz w:val="24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>Décision :</w:t>
      </w:r>
      <w:r>
        <w:rPr>
          <w:rFonts w:eastAsia="Times New Roman" w:cs="Times New Roman" w:ascii="Times New Roman" w:hAnsi="Times New Roman"/>
          <w:sz w:val="24"/>
        </w:rPr>
        <w:t xml:space="preserve"> Combien de temps peut-il s’écouler avant que le tribunal décide s’il y a eu ou non une violation?</w:t>
      </w:r>
    </w:p>
    <w:p>
      <w:pPr>
        <w:pStyle w:val="Normal"/>
        <w:widowControl w:val="false"/>
        <w:spacing w:lineRule="auto" w:line="276" w:before="0" w:after="0"/>
        <w:rPr/>
      </w:pPr>
      <w:r>
        <w:rPr/>
      </w:r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0"/>
        <w:ind w:left="2250" w:right="0" w:firstLine="360"/>
        <w:contextualSpacing/>
        <w:rPr>
          <w:rFonts w:eastAsia="Times New Roman" w:cs="Times New Roman" w:ascii="Times New Roman" w:hAnsi="Times New Roman"/>
          <w:sz w:val="24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>Appels :</w:t>
      </w:r>
      <w:r>
        <w:rPr>
          <w:rFonts w:eastAsia="Times New Roman" w:cs="Times New Roman" w:ascii="Times New Roman" w:hAnsi="Times New Roman"/>
          <w:sz w:val="24"/>
        </w:rPr>
        <w:t xml:space="preserve"> Quelles sont les recours possibles pour faire appel de la décision auprès d’une instance supérieure ? </w:t>
        <w:tab/>
        <w:tab/>
      </w:r>
    </w:p>
    <w:p>
      <w:pPr>
        <w:pStyle w:val="Normal"/>
        <w:widowControl w:val="false"/>
        <w:spacing w:lineRule="auto" w:line="276" w:before="0" w:after="0"/>
        <w:rPr/>
      </w:pPr>
      <w:r>
        <w:rPr/>
      </w:r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0"/>
        <w:ind w:left="2250" w:right="0" w:firstLine="360"/>
        <w:contextualSpacing/>
        <w:rPr>
          <w:rFonts w:eastAsia="Times New Roman" w:cs="Times New Roman" w:ascii="Times New Roman" w:hAnsi="Times New Roman"/>
          <w:sz w:val="24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>Impact :</w:t>
      </w:r>
      <w:r>
        <w:rPr>
          <w:rFonts w:eastAsia="Times New Roman" w:cs="Times New Roman" w:ascii="Times New Roman" w:hAnsi="Times New Roman"/>
          <w:sz w:val="24"/>
        </w:rPr>
        <w:t xml:space="preserve"> Quel est l’impact potentiel d'une décision négative à court terme et à long terme ? Une décision positive, peut-elle avoir des effets politiques indésirables ou des répercussions ?</w:t>
      </w:r>
    </w:p>
    <w:p>
      <w:pPr>
        <w:pStyle w:val="Normal"/>
        <w:widowControl w:val="false"/>
        <w:spacing w:lineRule="auto" w:line="276" w:before="0" w:after="0"/>
        <w:rPr/>
      </w:pPr>
      <w:r>
        <w:rPr/>
      </w:r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0"/>
        <w:ind w:left="2250" w:right="0" w:firstLine="360"/>
        <w:contextualSpacing/>
        <w:rPr>
          <w:rFonts w:eastAsia="Times New Roman" w:cs="Times New Roman" w:ascii="Times New Roman" w:hAnsi="Times New Roman"/>
          <w:sz w:val="24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>Suivi :</w:t>
      </w:r>
      <w:r>
        <w:rPr>
          <w:rFonts w:eastAsia="Times New Roman" w:cs="Times New Roman" w:ascii="Times New Roman" w:hAnsi="Times New Roman"/>
          <w:sz w:val="24"/>
        </w:rPr>
        <w:t xml:space="preserve"> Quelles autres difficultés peut-on anticiper en ce qui concerne l’exécution d’une décision positive ?</w:t>
      </w:r>
    </w:p>
    <w:p>
      <w:pPr>
        <w:pStyle w:val="Normal"/>
        <w:widowControl w:val="false"/>
        <w:spacing w:lineRule="auto" w:line="276" w:before="0" w:after="0"/>
        <w:ind w:left="1080" w:right="0" w:hanging="0"/>
        <w:rPr/>
      </w:pPr>
      <w:r>
        <w:rPr/>
      </w:r>
    </w:p>
    <w:p>
      <w:pPr>
        <w:pStyle w:val="Normal"/>
        <w:widowControl w:val="false"/>
        <w:spacing w:lineRule="auto" w:line="276" w:before="0" w:after="0"/>
        <w:ind w:left="360" w:right="0" w:hanging="0"/>
        <w:rPr>
          <w:rFonts w:eastAsia="Times New Roman" w:cs="Times New Roman" w:ascii="Times New Roman" w:hAnsi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V. Autres facteurs. </w:t>
      </w:r>
      <w:r>
        <w:rPr>
          <w:rFonts w:eastAsia="Times New Roman" w:cs="Times New Roman" w:ascii="Times New Roman" w:hAnsi="Times New Roman"/>
          <w:sz w:val="24"/>
        </w:rPr>
        <w:t>Veuillez énumérer toutes les autres lois, politiques ou pratiques nationales qu’il vous semble important de considérer lorsqu’on envisage d’intenter une action judiciaire pour atteinte aux droits de l’enfant.</w:t>
      </w:r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rPr/>
      </w:pPr>
      <w:r>
        <w:rPr/>
      </w:r>
    </w:p>
    <w:sectPr>
      <w:type w:val="nextPage"/>
      <w:pgSz w:w="12240" w:h="15840"/>
      <w:pgMar w:left="1440" w:right="1320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2160" w:hanging="-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-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-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-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-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-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-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-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-75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-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-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-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-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-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-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-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-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-612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-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-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-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-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-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-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-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-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-612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-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-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-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-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-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-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-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-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-612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-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-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-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-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-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-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-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-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-6120"/>
      </w:pPr>
      <w:rPr>
        <w:u w:val="none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0"/>
  <w:displayBackgroundShape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lang w:val="fr-FR" w:eastAsia="zh-CN" w:bidi="hi-IN"/>
      </w:rPr>
    </w:rPrDefault>
    <w:pPrDefault>
      <w:pPr>
        <w:widowControl/>
        <w:spacing w:lineRule="auto" w:line="276"/>
      </w:pPr>
    </w:pPrDefault>
  </w:docDefaults>
  <w:style w:type="paragraph" w:styleId="Normal">
    <w:name w:val="Normal"/>
    <w:pPr>
      <w:keepNext/>
      <w:keepLines w:val="false"/>
      <w:widowControl/>
      <w:suppressAutoHyphens w:val="true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0"/>
      <w:u w:val="none"/>
      <w:vertAlign w:val="baseline"/>
      <w:lang w:val="fr-FR" w:eastAsia="zh-CN" w:bidi="hi-IN"/>
    </w:rPr>
  </w:style>
  <w:style w:type="paragraph" w:styleId="Heading1">
    <w:name w:val="Heading 1"/>
    <w:basedOn w:val="Normal1"/>
    <w:next w:val="Normal"/>
    <w:pPr>
      <w:keepNext/>
      <w:keepLines w:val="false"/>
      <w:spacing w:lineRule="auto" w:line="240" w:before="200" w:after="0"/>
      <w:contextualSpacing/>
    </w:pPr>
    <w:rPr>
      <w:rFonts w:ascii="Trebuchet MS" w:hAnsi="Trebuchet MS" w:eastAsia="Trebuchet MS" w:cs="Trebuchet MS"/>
      <w:sz w:val="32"/>
    </w:rPr>
  </w:style>
  <w:style w:type="paragraph" w:styleId="Heading2">
    <w:name w:val="Heading 2"/>
    <w:basedOn w:val="Normal1"/>
    <w:next w:val="Normal"/>
    <w:pPr>
      <w:keepNext/>
      <w:keepLines w:val="false"/>
      <w:spacing w:lineRule="auto" w:line="240" w:before="200" w:after="0"/>
      <w:contextualSpacing/>
    </w:pPr>
    <w:rPr>
      <w:rFonts w:ascii="Trebuchet MS" w:hAnsi="Trebuchet MS" w:eastAsia="Trebuchet MS" w:cs="Trebuchet MS"/>
      <w:b w:val="false"/>
      <w:sz w:val="26"/>
    </w:rPr>
  </w:style>
  <w:style w:type="paragraph" w:styleId="Heading3">
    <w:name w:val="Heading 3"/>
    <w:basedOn w:val="Normal1"/>
    <w:next w:val="Normal"/>
    <w:pPr>
      <w:keepNext/>
      <w:keepLines w:val="false"/>
      <w:spacing w:lineRule="auto" w:line="240" w:before="160" w:after="0"/>
      <w:contextualSpacing/>
    </w:pPr>
    <w:rPr>
      <w:rFonts w:ascii="Trebuchet MS" w:hAnsi="Trebuchet MS" w:eastAsia="Trebuchet MS" w:cs="Trebuchet MS"/>
      <w:b w:val="false"/>
      <w:color w:val="666666"/>
      <w:sz w:val="24"/>
    </w:rPr>
  </w:style>
  <w:style w:type="paragraph" w:styleId="Heading4">
    <w:name w:val="Heading 4"/>
    <w:basedOn w:val="Normal1"/>
    <w:next w:val="Normal"/>
    <w:pPr>
      <w:keepNext/>
      <w:keepLines w:val="false"/>
      <w:spacing w:lineRule="auto" w:line="240" w:before="160" w:after="0"/>
      <w:contextualSpacing/>
    </w:pPr>
    <w:rPr>
      <w:rFonts w:ascii="Trebuchet MS" w:hAnsi="Trebuchet MS" w:eastAsia="Trebuchet MS" w:cs="Trebuchet MS"/>
      <w:color w:val="666666"/>
      <w:sz w:val="22"/>
      <w:u w:val="single"/>
    </w:rPr>
  </w:style>
  <w:style w:type="paragraph" w:styleId="Heading5">
    <w:name w:val="Heading 5"/>
    <w:basedOn w:val="Normal1"/>
    <w:next w:val="Normal"/>
    <w:pPr>
      <w:keepNext/>
      <w:keepLines w:val="false"/>
      <w:spacing w:lineRule="auto" w:line="240" w:before="160" w:after="0"/>
      <w:contextualSpacing/>
    </w:pPr>
    <w:rPr>
      <w:rFonts w:ascii="Trebuchet MS" w:hAnsi="Trebuchet MS" w:eastAsia="Trebuchet MS" w:cs="Trebuchet MS"/>
      <w:color w:val="666666"/>
      <w:sz w:val="22"/>
    </w:rPr>
  </w:style>
  <w:style w:type="paragraph" w:styleId="Heading6">
    <w:name w:val="Heading 6"/>
    <w:basedOn w:val="Normal1"/>
    <w:next w:val="Normal"/>
    <w:pPr>
      <w:keepNext/>
      <w:keepLines w:val="false"/>
      <w:spacing w:lineRule="auto" w:line="240" w:before="160" w:after="0"/>
      <w:contextualSpacing/>
    </w:pPr>
    <w:rPr>
      <w:rFonts w:ascii="Trebuchet MS" w:hAnsi="Trebuchet MS" w:eastAsia="Trebuchet MS" w:cs="Trebuchet MS"/>
      <w:i/>
      <w:color w:val="666666"/>
      <w:sz w:val="22"/>
    </w:rPr>
  </w:style>
  <w:style w:type="character" w:styleId="ListLabel1">
    <w:name w:val="ListLabel 1"/>
    <w:rPr>
      <w:u w:val="none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Normal1" w:default="1">
    <w:name w:val="LO-normal"/>
    <w:pPr>
      <w:keepNext/>
      <w:keepLines w:val="false"/>
      <w:widowControl/>
      <w:suppressAutoHyphens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0"/>
      <w:u w:val="none"/>
      <w:vertAlign w:val="baseline"/>
      <w:lang w:val="fr-FR" w:eastAsia="zh-CN" w:bidi="hi-IN"/>
    </w:rPr>
  </w:style>
  <w:style w:type="paragraph" w:styleId="Title">
    <w:name w:val="Title"/>
    <w:basedOn w:val="Normal1"/>
    <w:next w:val="Normal"/>
    <w:pPr>
      <w:keepNext/>
      <w:keepLines w:val="false"/>
      <w:spacing w:lineRule="auto" w:line="240" w:before="0" w:after="0"/>
      <w:contextualSpacing/>
    </w:pPr>
    <w:rPr>
      <w:rFonts w:ascii="Trebuchet MS" w:hAnsi="Trebuchet MS" w:eastAsia="Trebuchet MS" w:cs="Trebuchet MS"/>
      <w:sz w:val="42"/>
    </w:rPr>
  </w:style>
  <w:style w:type="paragraph" w:styleId="Subtitle">
    <w:name w:val="Subtitle"/>
    <w:basedOn w:val="Normal1"/>
    <w:next w:val="Normal"/>
    <w:pPr>
      <w:keepNext/>
      <w:keepLines w:val="false"/>
      <w:spacing w:lineRule="auto" w:line="240" w:before="0" w:after="200"/>
      <w:contextualSpacing/>
    </w:pPr>
    <w:rPr>
      <w:rFonts w:ascii="Trebuchet MS" w:hAnsi="Trebuchet MS" w:eastAsia="Trebuchet MS" w:cs="Trebuchet MS"/>
      <w:i w:val="false"/>
      <w:color w:val="000000"/>
      <w:sz w:val="26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fr-FR</dc:language>
  <cp:revision>0</cp:revision>
  <dc:title>A2J - instructions - FRENCH.docx</dc:title>
</cp:coreProperties>
</file>