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EF4C80">
        <w:trPr>
          <w:trHeight w:val="851"/>
        </w:trPr>
        <w:tc>
          <w:tcPr>
            <w:tcW w:w="1259" w:type="dxa"/>
            <w:tcBorders>
              <w:top w:val="nil"/>
              <w:left w:val="nil"/>
              <w:bottom w:val="single" w:sz="4" w:space="0" w:color="auto"/>
              <w:right w:val="nil"/>
            </w:tcBorders>
          </w:tcPr>
          <w:p w:rsidR="00446DE4" w:rsidRPr="008E5DEC" w:rsidRDefault="00446DE4" w:rsidP="00473FF8">
            <w:pPr>
              <w:spacing w:after="80" w:line="340" w:lineRule="exact"/>
              <w:rPr>
                <w:lang w:val="en-US"/>
              </w:rPr>
            </w:pPr>
            <w:bookmarkStart w:id="0" w:name="_GoBack"/>
            <w:bookmarkEnd w:id="0"/>
          </w:p>
        </w:tc>
        <w:tc>
          <w:tcPr>
            <w:tcW w:w="2236" w:type="dxa"/>
            <w:tcBorders>
              <w:top w:val="nil"/>
              <w:left w:val="nil"/>
              <w:bottom w:val="single" w:sz="4" w:space="0" w:color="auto"/>
              <w:right w:val="nil"/>
            </w:tcBorders>
            <w:vAlign w:val="bottom"/>
          </w:tcPr>
          <w:p w:rsidR="00446DE4" w:rsidRPr="00EF4C80" w:rsidRDefault="00F03161" w:rsidP="00473FF8">
            <w:pPr>
              <w:spacing w:after="80" w:line="340" w:lineRule="exact"/>
              <w:rPr>
                <w:sz w:val="28"/>
                <w:szCs w:val="28"/>
              </w:rPr>
            </w:pPr>
            <w:r w:rsidRPr="00EF4C80">
              <w:rPr>
                <w:sz w:val="28"/>
                <w:szCs w:val="28"/>
              </w:rPr>
              <w:t>United Nations</w:t>
            </w:r>
          </w:p>
        </w:tc>
        <w:tc>
          <w:tcPr>
            <w:tcW w:w="6144" w:type="dxa"/>
            <w:gridSpan w:val="2"/>
            <w:tcBorders>
              <w:top w:val="nil"/>
              <w:left w:val="nil"/>
              <w:bottom w:val="single" w:sz="4" w:space="0" w:color="auto"/>
              <w:right w:val="nil"/>
            </w:tcBorders>
            <w:vAlign w:val="bottom"/>
          </w:tcPr>
          <w:p w:rsidR="00446DE4" w:rsidRPr="00EF4C80" w:rsidRDefault="004B145D" w:rsidP="00093B2F">
            <w:pPr>
              <w:jc w:val="right"/>
            </w:pPr>
            <w:r w:rsidRPr="004B145D">
              <w:rPr>
                <w:sz w:val="40"/>
              </w:rPr>
              <w:t>CRC</w:t>
            </w:r>
            <w:r w:rsidRPr="000E52C9">
              <w:t>/C/TKM/CO/2-4</w:t>
            </w:r>
          </w:p>
        </w:tc>
      </w:tr>
      <w:tr w:rsidR="003107FA" w:rsidRPr="00EF4C80">
        <w:trPr>
          <w:trHeight w:val="2835"/>
        </w:trPr>
        <w:tc>
          <w:tcPr>
            <w:tcW w:w="1259" w:type="dxa"/>
            <w:tcBorders>
              <w:top w:val="single" w:sz="4" w:space="0" w:color="auto"/>
              <w:left w:val="nil"/>
              <w:bottom w:val="single" w:sz="12" w:space="0" w:color="auto"/>
              <w:right w:val="nil"/>
            </w:tcBorders>
          </w:tcPr>
          <w:p w:rsidR="003107FA" w:rsidRPr="00EF4C80" w:rsidRDefault="00094B21" w:rsidP="00942BE3">
            <w:pPr>
              <w:spacing w:before="120"/>
              <w:jc w:val="center"/>
            </w:pPr>
            <w:r>
              <w:rPr>
                <w:noProof/>
                <w:lang w:val="bg-BG" w:eastAsia="bg-BG"/>
              </w:rPr>
              <w:drawing>
                <wp:inline distT="0" distB="0" distL="0" distR="0">
                  <wp:extent cx="723265" cy="588645"/>
                  <wp:effectExtent l="0" t="0" r="635" b="190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265" cy="58864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EF4C80" w:rsidRDefault="00F03161" w:rsidP="005C50EF">
            <w:pPr>
              <w:spacing w:before="120" w:line="420" w:lineRule="exact"/>
              <w:rPr>
                <w:b/>
                <w:sz w:val="40"/>
                <w:szCs w:val="40"/>
              </w:rPr>
            </w:pPr>
            <w:r w:rsidRPr="00EF4C80">
              <w:rPr>
                <w:b/>
                <w:sz w:val="40"/>
                <w:szCs w:val="40"/>
              </w:rPr>
              <w:t>Convention on the</w:t>
            </w:r>
            <w:r w:rsidRPr="00EF4C80">
              <w:rPr>
                <w:b/>
                <w:sz w:val="40"/>
                <w:szCs w:val="40"/>
              </w:rPr>
              <w:br/>
              <w:t>Rights of the Child</w:t>
            </w:r>
          </w:p>
        </w:tc>
        <w:tc>
          <w:tcPr>
            <w:tcW w:w="2930" w:type="dxa"/>
            <w:tcBorders>
              <w:top w:val="single" w:sz="4" w:space="0" w:color="auto"/>
              <w:left w:val="nil"/>
              <w:bottom w:val="single" w:sz="12" w:space="0" w:color="auto"/>
              <w:right w:val="nil"/>
            </w:tcBorders>
          </w:tcPr>
          <w:p w:rsidR="007C5752" w:rsidRPr="00EF4C80" w:rsidRDefault="007C5752" w:rsidP="007C5752">
            <w:pPr>
              <w:spacing w:before="240" w:line="240" w:lineRule="exact"/>
            </w:pPr>
            <w:r w:rsidRPr="00EF4C80">
              <w:t>Distr.: General</w:t>
            </w:r>
          </w:p>
          <w:p w:rsidR="007C5752" w:rsidRDefault="0084760D" w:rsidP="007C5752">
            <w:pPr>
              <w:spacing w:line="240" w:lineRule="exact"/>
            </w:pPr>
            <w:r>
              <w:t>4 February</w:t>
            </w:r>
            <w:r w:rsidR="002A2C1A" w:rsidRPr="00717B94">
              <w:t xml:space="preserve"> 2015</w:t>
            </w:r>
          </w:p>
          <w:p w:rsidR="004B145D" w:rsidRPr="00EF4C80" w:rsidRDefault="004B145D" w:rsidP="007C5752">
            <w:pPr>
              <w:spacing w:line="240" w:lineRule="exact"/>
            </w:pPr>
          </w:p>
          <w:p w:rsidR="003107FA" w:rsidRDefault="007C5752" w:rsidP="007C5752">
            <w:pPr>
              <w:spacing w:line="240" w:lineRule="exact"/>
            </w:pPr>
            <w:r w:rsidRPr="00EF4C80">
              <w:t>Original: English</w:t>
            </w:r>
          </w:p>
          <w:p w:rsidR="00717B94" w:rsidRDefault="00717B94" w:rsidP="007C5752">
            <w:pPr>
              <w:spacing w:line="240" w:lineRule="exact"/>
            </w:pPr>
          </w:p>
          <w:p w:rsidR="00CC36DE" w:rsidRPr="00CC36DE" w:rsidRDefault="00CC36DE" w:rsidP="007C5752">
            <w:pPr>
              <w:spacing w:line="240" w:lineRule="exact"/>
              <w:rPr>
                <w:b/>
              </w:rPr>
            </w:pPr>
            <w:r w:rsidRPr="00CC36DE">
              <w:rPr>
                <w:b/>
              </w:rPr>
              <w:t>ADVANCE UNEDITED VERSION</w:t>
            </w:r>
          </w:p>
        </w:tc>
      </w:tr>
    </w:tbl>
    <w:p w:rsidR="007C5752" w:rsidRPr="00EF4C80" w:rsidRDefault="007C5752" w:rsidP="007C5752">
      <w:pPr>
        <w:spacing w:before="120"/>
        <w:rPr>
          <w:b/>
          <w:bCs/>
          <w:sz w:val="24"/>
          <w:szCs w:val="24"/>
        </w:rPr>
      </w:pPr>
      <w:r w:rsidRPr="00EF4C80">
        <w:rPr>
          <w:b/>
          <w:bCs/>
          <w:sz w:val="24"/>
          <w:szCs w:val="24"/>
        </w:rPr>
        <w:t>Committee on the Rights of the Child</w:t>
      </w:r>
    </w:p>
    <w:p w:rsidR="007C5752" w:rsidRPr="00C66C06" w:rsidRDefault="007C5752" w:rsidP="00A717B6">
      <w:pPr>
        <w:pStyle w:val="HChG"/>
        <w:jc w:val="both"/>
      </w:pPr>
      <w:r w:rsidRPr="00EF4C80">
        <w:tab/>
      </w:r>
      <w:r w:rsidRPr="00EF4C80">
        <w:tab/>
      </w:r>
      <w:r w:rsidR="00710290" w:rsidRPr="00C66C06">
        <w:t xml:space="preserve">Concluding observations on the </w:t>
      </w:r>
      <w:r w:rsidR="001B0C4F" w:rsidRPr="00C66C06">
        <w:t>combined second to fourth</w:t>
      </w:r>
      <w:r w:rsidR="00710290" w:rsidRPr="00C66C06">
        <w:t xml:space="preserve"> periodic report</w:t>
      </w:r>
      <w:r w:rsidR="001B0C4F" w:rsidRPr="00C66C06">
        <w:t>s of Turkmenistan</w:t>
      </w:r>
      <w:r w:rsidR="00710290" w:rsidRPr="00C66C06">
        <w:rPr>
          <w:rStyle w:val="FootnoteReference"/>
          <w:b w:val="0"/>
          <w:sz w:val="20"/>
        </w:rPr>
        <w:footnoteReference w:customMarkFollows="1" w:id="2"/>
        <w:t>*</w:t>
      </w:r>
    </w:p>
    <w:p w:rsidR="00710290" w:rsidRPr="000E52C9" w:rsidRDefault="00710290" w:rsidP="000E52C9">
      <w:pPr>
        <w:pStyle w:val="HChG"/>
        <w:rPr>
          <w:rFonts w:eastAsia="Malgun Gothic"/>
        </w:rPr>
      </w:pPr>
      <w:r w:rsidRPr="000E52C9">
        <w:rPr>
          <w:rFonts w:eastAsia="Malgun Gothic"/>
        </w:rPr>
        <w:tab/>
        <w:t>I.</w:t>
      </w:r>
      <w:r w:rsidRPr="000E52C9">
        <w:rPr>
          <w:rFonts w:eastAsia="Malgun Gothic"/>
        </w:rPr>
        <w:tab/>
        <w:t>Introduction</w:t>
      </w:r>
    </w:p>
    <w:p w:rsidR="00EB5DA7" w:rsidRPr="000E52C9" w:rsidRDefault="000E52C9" w:rsidP="000E52C9">
      <w:pPr>
        <w:pStyle w:val="SingleTxtG"/>
        <w:rPr>
          <w:rFonts w:eastAsia="Malgun Gothic"/>
        </w:rPr>
      </w:pPr>
      <w:r>
        <w:rPr>
          <w:rFonts w:eastAsia="Malgun Gothic"/>
        </w:rPr>
        <w:t>1.</w:t>
      </w:r>
      <w:r>
        <w:rPr>
          <w:rFonts w:eastAsia="Malgun Gothic"/>
        </w:rPr>
        <w:tab/>
      </w:r>
      <w:r w:rsidR="00710290" w:rsidRPr="000E52C9">
        <w:rPr>
          <w:rFonts w:eastAsia="Malgun Gothic"/>
        </w:rPr>
        <w:t xml:space="preserve">The Committee considered the </w:t>
      </w:r>
      <w:r w:rsidR="002A2C1A" w:rsidRPr="000E52C9">
        <w:rPr>
          <w:rFonts w:eastAsia="Malgun Gothic"/>
        </w:rPr>
        <w:t xml:space="preserve">combined second to fourth periodic reports of Turkmenistan </w:t>
      </w:r>
      <w:r w:rsidR="00710290" w:rsidRPr="000E52C9">
        <w:rPr>
          <w:rFonts w:eastAsia="Malgun Gothic"/>
        </w:rPr>
        <w:t>(CRC/C/</w:t>
      </w:r>
      <w:r w:rsidR="00F81954" w:rsidRPr="000E52C9">
        <w:rPr>
          <w:rFonts w:eastAsia="Malgun Gothic"/>
        </w:rPr>
        <w:t>TKM/2-4</w:t>
      </w:r>
      <w:r w:rsidR="00710290" w:rsidRPr="000E52C9">
        <w:rPr>
          <w:rFonts w:eastAsia="Malgun Gothic"/>
        </w:rPr>
        <w:t xml:space="preserve">) at its </w:t>
      </w:r>
      <w:r w:rsidR="00E820C1" w:rsidRPr="000E52C9">
        <w:rPr>
          <w:rFonts w:eastAsia="Malgun Gothic"/>
        </w:rPr>
        <w:t>1935</w:t>
      </w:r>
      <w:r w:rsidR="00710290" w:rsidRPr="001B77AD">
        <w:rPr>
          <w:rFonts w:eastAsia="Malgun Gothic"/>
          <w:vertAlign w:val="superscript"/>
        </w:rPr>
        <w:t>th</w:t>
      </w:r>
      <w:r w:rsidR="001B77AD">
        <w:rPr>
          <w:rFonts w:eastAsia="Malgun Gothic"/>
        </w:rPr>
        <w:t xml:space="preserve"> </w:t>
      </w:r>
      <w:r w:rsidR="00710290" w:rsidRPr="000E52C9">
        <w:rPr>
          <w:rFonts w:eastAsia="Malgun Gothic"/>
        </w:rPr>
        <w:t xml:space="preserve">and </w:t>
      </w:r>
      <w:r w:rsidR="00E820C1" w:rsidRPr="000E52C9">
        <w:rPr>
          <w:rFonts w:eastAsia="Malgun Gothic"/>
        </w:rPr>
        <w:t>1937</w:t>
      </w:r>
      <w:r w:rsidR="00E820C1" w:rsidRPr="001B77AD">
        <w:rPr>
          <w:rFonts w:eastAsia="Malgun Gothic"/>
          <w:vertAlign w:val="superscript"/>
        </w:rPr>
        <w:t>th</w:t>
      </w:r>
      <w:r w:rsidR="00710290" w:rsidRPr="000E52C9">
        <w:rPr>
          <w:rFonts w:eastAsia="Malgun Gothic"/>
        </w:rPr>
        <w:t xml:space="preserve"> meetings (see CRC/C/SR.</w:t>
      </w:r>
      <w:r w:rsidR="00A40A96" w:rsidRPr="000E52C9">
        <w:rPr>
          <w:rFonts w:eastAsia="Malgun Gothic"/>
        </w:rPr>
        <w:t>1935</w:t>
      </w:r>
      <w:r w:rsidR="00710290" w:rsidRPr="000E52C9">
        <w:rPr>
          <w:rFonts w:eastAsia="Malgun Gothic"/>
        </w:rPr>
        <w:t xml:space="preserve"> and </w:t>
      </w:r>
      <w:r w:rsidR="00A40A96" w:rsidRPr="000E52C9">
        <w:rPr>
          <w:rFonts w:eastAsia="Malgun Gothic"/>
        </w:rPr>
        <w:t>1937</w:t>
      </w:r>
      <w:r w:rsidR="00710290" w:rsidRPr="000E52C9">
        <w:rPr>
          <w:rFonts w:eastAsia="Malgun Gothic"/>
        </w:rPr>
        <w:t xml:space="preserve">), held on </w:t>
      </w:r>
      <w:r w:rsidR="002A2C1A" w:rsidRPr="000E52C9">
        <w:rPr>
          <w:rFonts w:eastAsia="Malgun Gothic"/>
        </w:rPr>
        <w:t>13 and 14 January 2015</w:t>
      </w:r>
      <w:r w:rsidR="00710290" w:rsidRPr="000E52C9">
        <w:rPr>
          <w:rFonts w:eastAsia="Malgun Gothic"/>
        </w:rPr>
        <w:t>, and adopted, at its 1983</w:t>
      </w:r>
      <w:r w:rsidR="00710290" w:rsidRPr="001B77AD">
        <w:rPr>
          <w:rFonts w:eastAsia="Malgun Gothic"/>
          <w:vertAlign w:val="superscript"/>
        </w:rPr>
        <w:t>rd</w:t>
      </w:r>
      <w:r w:rsidR="001B77AD">
        <w:rPr>
          <w:rFonts w:eastAsia="Malgun Gothic"/>
        </w:rPr>
        <w:t xml:space="preserve"> </w:t>
      </w:r>
      <w:r w:rsidR="00710290" w:rsidRPr="000E52C9">
        <w:rPr>
          <w:rFonts w:eastAsia="Malgun Gothic"/>
        </w:rPr>
        <w:t>meeting, held on 30 January 2015, the fol</w:t>
      </w:r>
      <w:r w:rsidR="002D0408" w:rsidRPr="000E52C9">
        <w:rPr>
          <w:rFonts w:eastAsia="Malgun Gothic"/>
        </w:rPr>
        <w:t>lowing concluding observations.</w:t>
      </w:r>
    </w:p>
    <w:p w:rsidR="000F0F0F" w:rsidRPr="000E52C9" w:rsidRDefault="000E52C9" w:rsidP="000E52C9">
      <w:pPr>
        <w:pStyle w:val="SingleTxtG"/>
        <w:rPr>
          <w:rFonts w:eastAsia="Malgun Gothic"/>
        </w:rPr>
      </w:pPr>
      <w:r>
        <w:rPr>
          <w:rFonts w:eastAsia="Malgun Gothic"/>
        </w:rPr>
        <w:t>2.</w:t>
      </w:r>
      <w:r>
        <w:rPr>
          <w:rFonts w:eastAsia="Malgun Gothic"/>
        </w:rPr>
        <w:tab/>
      </w:r>
      <w:r w:rsidR="00710290" w:rsidRPr="000E52C9">
        <w:rPr>
          <w:rFonts w:eastAsia="Malgun Gothic"/>
        </w:rPr>
        <w:t xml:space="preserve">The Committee welcomes the submission of the </w:t>
      </w:r>
      <w:r w:rsidR="00F81954" w:rsidRPr="000E52C9">
        <w:rPr>
          <w:rFonts w:eastAsia="Malgun Gothic"/>
        </w:rPr>
        <w:t xml:space="preserve">combined second to fourth periodic reports of the State party (CRC/C/TKM/2-4) </w:t>
      </w:r>
      <w:r w:rsidR="00710290" w:rsidRPr="000E52C9">
        <w:rPr>
          <w:rFonts w:eastAsia="Malgun Gothic"/>
        </w:rPr>
        <w:t>and the written replies to the list of issues (CRC/C/</w:t>
      </w:r>
      <w:r w:rsidR="00F81954" w:rsidRPr="000E52C9">
        <w:rPr>
          <w:rFonts w:eastAsia="Malgun Gothic"/>
        </w:rPr>
        <w:t>TKM/Q/2-4/</w:t>
      </w:r>
      <w:r w:rsidR="00710290" w:rsidRPr="000E52C9">
        <w:rPr>
          <w:rFonts w:eastAsia="Malgun Gothic"/>
        </w:rPr>
        <w:t xml:space="preserve">Add.1), which allowed for a better understanding of the situation of children’s rights in the State party. The Committee expresses appreciation for the constructive dialogue held with the </w:t>
      </w:r>
      <w:r w:rsidR="00DC01F4" w:rsidRPr="000E52C9">
        <w:rPr>
          <w:rFonts w:eastAsia="Malgun Gothic"/>
        </w:rPr>
        <w:t xml:space="preserve">multisectoral </w:t>
      </w:r>
      <w:r w:rsidR="002D0408" w:rsidRPr="000E52C9">
        <w:rPr>
          <w:rFonts w:eastAsia="Malgun Gothic"/>
        </w:rPr>
        <w:t>delegation of the State party.</w:t>
      </w:r>
    </w:p>
    <w:p w:rsidR="00027D8A" w:rsidRPr="000E52C9" w:rsidRDefault="00575954" w:rsidP="000E52C9">
      <w:pPr>
        <w:pStyle w:val="HChG"/>
        <w:rPr>
          <w:rFonts w:eastAsia="Malgun Gothic"/>
        </w:rPr>
      </w:pPr>
      <w:r w:rsidRPr="000E52C9">
        <w:rPr>
          <w:rFonts w:eastAsia="Malgun Gothic"/>
        </w:rPr>
        <w:tab/>
      </w:r>
      <w:r w:rsidR="000F0F0F" w:rsidRPr="000E52C9">
        <w:rPr>
          <w:rFonts w:eastAsia="Malgun Gothic"/>
        </w:rPr>
        <w:t>II.</w:t>
      </w:r>
      <w:r w:rsidRPr="000E52C9">
        <w:rPr>
          <w:rFonts w:eastAsia="Malgun Gothic"/>
        </w:rPr>
        <w:tab/>
      </w:r>
      <w:r w:rsidR="000F0F0F" w:rsidRPr="000E52C9">
        <w:rPr>
          <w:rFonts w:eastAsia="Malgun Gothic"/>
        </w:rPr>
        <w:t>Follow-up measures undertaken and progress achieved by the State party</w:t>
      </w:r>
    </w:p>
    <w:p w:rsidR="00027D8A" w:rsidRPr="000E52C9" w:rsidRDefault="000E52C9" w:rsidP="000E52C9">
      <w:pPr>
        <w:pStyle w:val="SingleTxtG"/>
        <w:rPr>
          <w:rFonts w:eastAsia="Malgun Gothic"/>
        </w:rPr>
      </w:pPr>
      <w:r>
        <w:rPr>
          <w:rFonts w:eastAsia="Malgun Gothic"/>
        </w:rPr>
        <w:t>3.</w:t>
      </w:r>
      <w:r>
        <w:rPr>
          <w:rFonts w:eastAsia="Malgun Gothic"/>
        </w:rPr>
        <w:tab/>
      </w:r>
      <w:r w:rsidR="00027D8A" w:rsidRPr="000E52C9">
        <w:rPr>
          <w:rFonts w:eastAsia="Malgun Gothic"/>
        </w:rPr>
        <w:t xml:space="preserve">The Committee welcomes the ratification of or accession to: </w:t>
      </w:r>
    </w:p>
    <w:p w:rsidR="00027D8A" w:rsidRPr="000E52C9" w:rsidRDefault="000E52C9" w:rsidP="000E52C9">
      <w:pPr>
        <w:pStyle w:val="SingleTxtG"/>
      </w:pPr>
      <w:r>
        <w:rPr>
          <w:rFonts w:eastAsia="Malgun Gothic"/>
        </w:rPr>
        <w:tab/>
      </w:r>
      <w:r w:rsidR="00027D8A" w:rsidRPr="000E52C9">
        <w:rPr>
          <w:rFonts w:eastAsia="Malgun Gothic"/>
        </w:rPr>
        <w:t>(a)</w:t>
      </w:r>
      <w:r w:rsidR="00027D8A" w:rsidRPr="000E52C9">
        <w:rPr>
          <w:rFonts w:eastAsia="Malgun Gothic"/>
        </w:rPr>
        <w:tab/>
      </w:r>
      <w:r w:rsidR="00F24EBF" w:rsidRPr="000E52C9">
        <w:t>The</w:t>
      </w:r>
      <w:r w:rsidR="00027D8A" w:rsidRPr="000E52C9">
        <w:t xml:space="preserve"> Convention on the Rights of Persons with Disabilities on 4 September 2008 and to its Optional Protocol on 25 September 2010; </w:t>
      </w:r>
    </w:p>
    <w:p w:rsidR="00027D8A" w:rsidRPr="000E52C9" w:rsidRDefault="000E52C9" w:rsidP="000E52C9">
      <w:pPr>
        <w:pStyle w:val="SingleTxtG"/>
      </w:pPr>
      <w:r>
        <w:tab/>
      </w:r>
      <w:r w:rsidR="00027D8A" w:rsidRPr="000E52C9">
        <w:t>(b)</w:t>
      </w:r>
      <w:r w:rsidR="00027D8A" w:rsidRPr="000E52C9">
        <w:tab/>
      </w:r>
      <w:r w:rsidR="00F24EBF" w:rsidRPr="000E52C9">
        <w:t>The</w:t>
      </w:r>
      <w:r w:rsidR="00027D8A" w:rsidRPr="000E52C9">
        <w:t xml:space="preserve"> Optional Protocol to the Convention on the Elimination of all Forms of Discrimination against Women </w:t>
      </w:r>
      <w:r w:rsidR="008C6C86">
        <w:t>on 20 May 2009</w:t>
      </w:r>
      <w:r w:rsidR="00027D8A" w:rsidRPr="000E52C9">
        <w:t>;</w:t>
      </w:r>
    </w:p>
    <w:p w:rsidR="00027D8A" w:rsidRPr="000E52C9" w:rsidRDefault="000E52C9" w:rsidP="000E52C9">
      <w:pPr>
        <w:pStyle w:val="SingleTxtG"/>
      </w:pPr>
      <w:r>
        <w:tab/>
      </w:r>
      <w:r w:rsidR="00027D8A" w:rsidRPr="000E52C9">
        <w:t>(c)</w:t>
      </w:r>
      <w:r w:rsidR="00027D8A" w:rsidRPr="000E52C9">
        <w:tab/>
      </w:r>
      <w:r w:rsidR="00F24EBF">
        <w:t>T</w:t>
      </w:r>
      <w:r w:rsidR="00027D8A" w:rsidRPr="000E52C9">
        <w:t>he 1961 Convention on the Reduction of Statelessness on 29 August 2012, as well as to the 1954 Convention relating to the Status of Stateless Persons on 7 December 2011; and</w:t>
      </w:r>
    </w:p>
    <w:p w:rsidR="00027D8A" w:rsidRPr="000E52C9" w:rsidRDefault="000E52C9" w:rsidP="000E52C9">
      <w:pPr>
        <w:pStyle w:val="SingleTxtG"/>
      </w:pPr>
      <w:r>
        <w:tab/>
      </w:r>
      <w:r w:rsidR="00027D8A" w:rsidRPr="000E52C9">
        <w:t>(d)</w:t>
      </w:r>
      <w:r w:rsidR="00027D8A" w:rsidRPr="000E52C9">
        <w:tab/>
      </w:r>
      <w:r w:rsidR="00F24EBF">
        <w:t>T</w:t>
      </w:r>
      <w:r w:rsidR="00027D8A" w:rsidRPr="000E52C9">
        <w:t xml:space="preserve">he ILO </w:t>
      </w:r>
      <w:r w:rsidR="001640FF" w:rsidRPr="000E52C9">
        <w:t xml:space="preserve">Convention </w:t>
      </w:r>
      <w:r w:rsidR="001640FF">
        <w:t xml:space="preserve">on the </w:t>
      </w:r>
      <w:r w:rsidR="00027D8A" w:rsidRPr="000E52C9">
        <w:t>Worst Forms of Child Labour (No.182) on 15 November 2010.</w:t>
      </w:r>
    </w:p>
    <w:p w:rsidR="000F0F0F" w:rsidRPr="000E52C9" w:rsidRDefault="000E52C9" w:rsidP="000E52C9">
      <w:pPr>
        <w:pStyle w:val="SingleTxtG"/>
        <w:rPr>
          <w:rFonts w:eastAsia="Malgun Gothic"/>
        </w:rPr>
      </w:pPr>
      <w:r>
        <w:rPr>
          <w:rFonts w:eastAsia="Malgun Gothic"/>
        </w:rPr>
        <w:t>4.</w:t>
      </w:r>
      <w:r>
        <w:rPr>
          <w:rFonts w:eastAsia="Malgun Gothic"/>
        </w:rPr>
        <w:tab/>
      </w:r>
      <w:r w:rsidR="000F0F0F" w:rsidRPr="000E52C9">
        <w:rPr>
          <w:rFonts w:eastAsia="Malgun Gothic"/>
        </w:rPr>
        <w:t xml:space="preserve">The Committee </w:t>
      </w:r>
      <w:r w:rsidR="00027D8A" w:rsidRPr="000E52C9">
        <w:rPr>
          <w:rFonts w:eastAsia="Malgun Gothic"/>
        </w:rPr>
        <w:t>also wishes to welcome</w:t>
      </w:r>
      <w:r w:rsidR="000F0F0F" w:rsidRPr="000E52C9">
        <w:rPr>
          <w:rFonts w:eastAsia="Malgun Gothic"/>
        </w:rPr>
        <w:t xml:space="preserve"> the adoption of the following legisl</w:t>
      </w:r>
      <w:r w:rsidR="00967BE3" w:rsidRPr="000E52C9">
        <w:rPr>
          <w:rFonts w:eastAsia="Malgun Gothic"/>
        </w:rPr>
        <w:t>ation</w:t>
      </w:r>
      <w:r w:rsidR="000F0F0F" w:rsidRPr="000E52C9">
        <w:rPr>
          <w:rFonts w:eastAsia="Malgun Gothic"/>
        </w:rPr>
        <w:t>:</w:t>
      </w:r>
    </w:p>
    <w:p w:rsidR="009776E3" w:rsidRPr="000E52C9" w:rsidRDefault="000E52C9" w:rsidP="000E52C9">
      <w:pPr>
        <w:pStyle w:val="SingleTxtG"/>
      </w:pPr>
      <w:r>
        <w:rPr>
          <w:rFonts w:eastAsia="Malgun Gothic"/>
        </w:rPr>
        <w:lastRenderedPageBreak/>
        <w:tab/>
      </w:r>
      <w:r w:rsidR="00504DD7" w:rsidRPr="000E52C9">
        <w:rPr>
          <w:rFonts w:eastAsia="Malgun Gothic"/>
        </w:rPr>
        <w:t>(a)</w:t>
      </w:r>
      <w:r w:rsidR="00504DD7" w:rsidRPr="000E52C9">
        <w:rPr>
          <w:rFonts w:eastAsia="Malgun Gothic"/>
        </w:rPr>
        <w:tab/>
      </w:r>
      <w:r w:rsidR="008C6C86">
        <w:t>A</w:t>
      </w:r>
      <w:r w:rsidR="00CA4339" w:rsidRPr="000E52C9">
        <w:t xml:space="preserve">mendments to the </w:t>
      </w:r>
      <w:r w:rsidR="00DA38FD" w:rsidRPr="000E52C9">
        <w:t>Law On State Guaran</w:t>
      </w:r>
      <w:r w:rsidR="00C12EB8" w:rsidRPr="000E52C9">
        <w:t>tees of the Rights of the Child</w:t>
      </w:r>
      <w:r w:rsidR="009776E3" w:rsidRPr="000E52C9">
        <w:t xml:space="preserve"> (3 May 2014);</w:t>
      </w:r>
    </w:p>
    <w:p w:rsidR="009776E3" w:rsidRPr="000E52C9" w:rsidRDefault="000E52C9" w:rsidP="000E52C9">
      <w:pPr>
        <w:pStyle w:val="SingleTxtG"/>
      </w:pPr>
      <w:r>
        <w:rPr>
          <w:rFonts w:eastAsia="Malgun Gothic"/>
        </w:rPr>
        <w:tab/>
      </w:r>
      <w:r w:rsidR="00504DD7" w:rsidRPr="000E52C9">
        <w:rPr>
          <w:rFonts w:eastAsia="Malgun Gothic"/>
        </w:rPr>
        <w:t>(b)</w:t>
      </w:r>
      <w:r w:rsidR="00504DD7" w:rsidRPr="000E52C9">
        <w:rPr>
          <w:rFonts w:eastAsia="Malgun Gothic"/>
        </w:rPr>
        <w:tab/>
      </w:r>
      <w:r w:rsidR="00DA38FD" w:rsidRPr="000E52C9">
        <w:t>La</w:t>
      </w:r>
      <w:r w:rsidR="009776E3" w:rsidRPr="000E52C9">
        <w:t>w on Citizenship (22 June 2013);</w:t>
      </w:r>
    </w:p>
    <w:p w:rsidR="009776E3" w:rsidRPr="000E52C9" w:rsidRDefault="000E52C9" w:rsidP="000E52C9">
      <w:pPr>
        <w:pStyle w:val="SingleTxtG"/>
      </w:pPr>
      <w:r>
        <w:rPr>
          <w:rFonts w:eastAsia="Malgun Gothic"/>
        </w:rPr>
        <w:tab/>
      </w:r>
      <w:r w:rsidR="00504DD7" w:rsidRPr="000E52C9">
        <w:rPr>
          <w:rFonts w:eastAsia="Malgun Gothic"/>
        </w:rPr>
        <w:t>(c)</w:t>
      </w:r>
      <w:r w:rsidR="00504DD7" w:rsidRPr="000E52C9">
        <w:rPr>
          <w:rFonts w:eastAsia="Malgun Gothic"/>
        </w:rPr>
        <w:tab/>
      </w:r>
      <w:r w:rsidR="00DA38FD" w:rsidRPr="000E52C9">
        <w:rPr>
          <w:rFonts w:eastAsia="Malgun Gothic"/>
        </w:rPr>
        <w:t>Social Security Code (19 October 2012)</w:t>
      </w:r>
      <w:r w:rsidR="009776E3" w:rsidRPr="000E52C9">
        <w:rPr>
          <w:rFonts w:eastAsia="Malgun Gothic"/>
        </w:rPr>
        <w:t>;</w:t>
      </w:r>
    </w:p>
    <w:p w:rsidR="009776E3" w:rsidRPr="000E52C9" w:rsidRDefault="000E52C9" w:rsidP="000E52C9">
      <w:pPr>
        <w:pStyle w:val="SingleTxtG"/>
      </w:pPr>
      <w:r>
        <w:rPr>
          <w:rFonts w:eastAsia="Malgun Gothic"/>
        </w:rPr>
        <w:tab/>
      </w:r>
      <w:r w:rsidR="00504DD7" w:rsidRPr="000E52C9">
        <w:rPr>
          <w:rFonts w:eastAsia="Malgun Gothic"/>
        </w:rPr>
        <w:t>(d)</w:t>
      </w:r>
      <w:r w:rsidR="00504DD7" w:rsidRPr="000E52C9">
        <w:rPr>
          <w:rFonts w:eastAsia="Malgun Gothic"/>
        </w:rPr>
        <w:tab/>
      </w:r>
      <w:r w:rsidR="00967BE3" w:rsidRPr="000E52C9">
        <w:rPr>
          <w:rFonts w:eastAsia="Malgun Gothic"/>
        </w:rPr>
        <w:t>Penal E</w:t>
      </w:r>
      <w:r w:rsidR="009776E3" w:rsidRPr="000E52C9">
        <w:rPr>
          <w:rFonts w:eastAsia="Malgun Gothic"/>
        </w:rPr>
        <w:t>nforcement Code (25 March 2011);</w:t>
      </w:r>
    </w:p>
    <w:p w:rsidR="009776E3" w:rsidRPr="000E52C9" w:rsidRDefault="000E52C9" w:rsidP="000E52C9">
      <w:pPr>
        <w:pStyle w:val="SingleTxtG"/>
      </w:pPr>
      <w:r>
        <w:rPr>
          <w:rFonts w:eastAsia="Malgun Gothic"/>
        </w:rPr>
        <w:tab/>
      </w:r>
      <w:r w:rsidR="00504DD7" w:rsidRPr="000E52C9">
        <w:rPr>
          <w:rFonts w:eastAsia="Malgun Gothic"/>
        </w:rPr>
        <w:t>(e)</w:t>
      </w:r>
      <w:r w:rsidR="00504DD7" w:rsidRPr="000E52C9">
        <w:rPr>
          <w:rFonts w:eastAsia="Malgun Gothic"/>
        </w:rPr>
        <w:tab/>
      </w:r>
      <w:r w:rsidR="009776E3" w:rsidRPr="000E52C9">
        <w:rPr>
          <w:rFonts w:eastAsia="Malgun Gothic"/>
        </w:rPr>
        <w:t>Criminal Code (10 May 2010);</w:t>
      </w:r>
    </w:p>
    <w:p w:rsidR="009776E3" w:rsidRPr="000E52C9" w:rsidRDefault="000E52C9" w:rsidP="000E52C9">
      <w:pPr>
        <w:pStyle w:val="SingleTxtG"/>
      </w:pPr>
      <w:r>
        <w:rPr>
          <w:rFonts w:eastAsia="Malgun Gothic"/>
        </w:rPr>
        <w:tab/>
      </w:r>
      <w:r w:rsidR="00504DD7" w:rsidRPr="000E52C9">
        <w:rPr>
          <w:rFonts w:eastAsia="Malgun Gothic"/>
        </w:rPr>
        <w:t>(f)</w:t>
      </w:r>
      <w:r w:rsidR="00504DD7" w:rsidRPr="000E52C9">
        <w:rPr>
          <w:rFonts w:eastAsia="Malgun Gothic"/>
        </w:rPr>
        <w:tab/>
      </w:r>
      <w:r w:rsidR="009776E3" w:rsidRPr="000E52C9">
        <w:rPr>
          <w:rFonts w:eastAsia="Malgun Gothic"/>
        </w:rPr>
        <w:t>Law on Culture (12 March 2010);</w:t>
      </w:r>
    </w:p>
    <w:p w:rsidR="009776E3" w:rsidRPr="000E52C9" w:rsidRDefault="000E52C9" w:rsidP="000E52C9">
      <w:pPr>
        <w:pStyle w:val="SingleTxtG"/>
      </w:pPr>
      <w:r>
        <w:rPr>
          <w:rFonts w:eastAsia="Malgun Gothic"/>
        </w:rPr>
        <w:tab/>
      </w:r>
      <w:r w:rsidR="00504DD7" w:rsidRPr="000E52C9">
        <w:rPr>
          <w:rFonts w:eastAsia="Malgun Gothic"/>
        </w:rPr>
        <w:t>(g)</w:t>
      </w:r>
      <w:r w:rsidR="00504DD7" w:rsidRPr="000E52C9">
        <w:rPr>
          <w:rFonts w:eastAsia="Malgun Gothic"/>
        </w:rPr>
        <w:tab/>
      </w:r>
      <w:r w:rsidR="00967BE3" w:rsidRPr="000E52C9">
        <w:rPr>
          <w:rFonts w:eastAsia="Malgun Gothic"/>
        </w:rPr>
        <w:t>S</w:t>
      </w:r>
      <w:r w:rsidR="009776E3" w:rsidRPr="000E52C9">
        <w:rPr>
          <w:rFonts w:eastAsia="Malgun Gothic"/>
        </w:rPr>
        <w:t>anitary Code (21 November 2009);</w:t>
      </w:r>
    </w:p>
    <w:p w:rsidR="009776E3" w:rsidRPr="000E52C9" w:rsidRDefault="000E52C9" w:rsidP="000E52C9">
      <w:pPr>
        <w:pStyle w:val="SingleTxtG"/>
      </w:pPr>
      <w:r>
        <w:rPr>
          <w:rFonts w:eastAsia="Malgun Gothic"/>
        </w:rPr>
        <w:tab/>
      </w:r>
      <w:r w:rsidR="00504DD7" w:rsidRPr="000E52C9">
        <w:rPr>
          <w:rFonts w:eastAsia="Malgun Gothic"/>
        </w:rPr>
        <w:t>(h)</w:t>
      </w:r>
      <w:r w:rsidR="00504DD7" w:rsidRPr="000E52C9">
        <w:rPr>
          <w:rFonts w:eastAsia="Malgun Gothic"/>
        </w:rPr>
        <w:tab/>
      </w:r>
      <w:r w:rsidR="009776E3" w:rsidRPr="000E52C9">
        <w:rPr>
          <w:rFonts w:eastAsia="Malgun Gothic"/>
        </w:rPr>
        <w:t>Law on E</w:t>
      </w:r>
      <w:r w:rsidR="00967BE3" w:rsidRPr="000E52C9">
        <w:rPr>
          <w:rFonts w:eastAsia="Malgun Gothic"/>
        </w:rPr>
        <w:t>ducation</w:t>
      </w:r>
      <w:r w:rsidR="009776E3" w:rsidRPr="000E52C9">
        <w:rPr>
          <w:rFonts w:eastAsia="Malgun Gothic"/>
        </w:rPr>
        <w:t xml:space="preserve"> (15 August 2009);</w:t>
      </w:r>
      <w:r w:rsidR="00967BE3" w:rsidRPr="000E52C9">
        <w:rPr>
          <w:rFonts w:eastAsia="Malgun Gothic"/>
        </w:rPr>
        <w:t xml:space="preserve"> </w:t>
      </w:r>
    </w:p>
    <w:p w:rsidR="009776E3" w:rsidRPr="000E52C9" w:rsidRDefault="000E52C9" w:rsidP="000E52C9">
      <w:pPr>
        <w:pStyle w:val="SingleTxtG"/>
      </w:pPr>
      <w:r>
        <w:rPr>
          <w:rFonts w:eastAsia="Malgun Gothic"/>
        </w:rPr>
        <w:tab/>
      </w:r>
      <w:r w:rsidR="00504DD7" w:rsidRPr="000E52C9">
        <w:rPr>
          <w:rFonts w:eastAsia="Malgun Gothic"/>
        </w:rPr>
        <w:t>(i)</w:t>
      </w:r>
      <w:r w:rsidR="00504DD7" w:rsidRPr="000E52C9">
        <w:rPr>
          <w:rFonts w:eastAsia="Malgun Gothic"/>
        </w:rPr>
        <w:tab/>
      </w:r>
      <w:r w:rsidR="006A76B1" w:rsidRPr="000E52C9">
        <w:rPr>
          <w:rFonts w:eastAsia="Malgun Gothic"/>
        </w:rPr>
        <w:t>Labour Code (18 April 2009)</w:t>
      </w:r>
      <w:r w:rsidR="009776E3" w:rsidRPr="000E52C9">
        <w:rPr>
          <w:rFonts w:eastAsia="Malgun Gothic"/>
        </w:rPr>
        <w:t>;</w:t>
      </w:r>
    </w:p>
    <w:p w:rsidR="009776E3" w:rsidRPr="000E52C9" w:rsidRDefault="000E52C9" w:rsidP="000E52C9">
      <w:pPr>
        <w:pStyle w:val="SingleTxtG"/>
      </w:pPr>
      <w:r>
        <w:rPr>
          <w:rFonts w:eastAsia="Malgun Gothic"/>
        </w:rPr>
        <w:tab/>
      </w:r>
      <w:r w:rsidR="00504DD7" w:rsidRPr="000E52C9">
        <w:rPr>
          <w:rFonts w:eastAsia="Malgun Gothic"/>
        </w:rPr>
        <w:t>(j)</w:t>
      </w:r>
      <w:r w:rsidR="00504DD7" w:rsidRPr="000E52C9">
        <w:rPr>
          <w:rFonts w:eastAsia="Malgun Gothic"/>
        </w:rPr>
        <w:tab/>
      </w:r>
      <w:r w:rsidR="006A76B1" w:rsidRPr="000E52C9">
        <w:rPr>
          <w:rFonts w:eastAsia="Malgun Gothic"/>
        </w:rPr>
        <w:t>Code of Criminal Procedure</w:t>
      </w:r>
      <w:r w:rsidR="009776E3" w:rsidRPr="000E52C9">
        <w:rPr>
          <w:rFonts w:eastAsia="Malgun Gothic"/>
        </w:rPr>
        <w:t xml:space="preserve"> (18 April 2009);</w:t>
      </w:r>
      <w:r w:rsidR="00023C7A" w:rsidRPr="000E52C9">
        <w:rPr>
          <w:rFonts w:eastAsia="Malgun Gothic"/>
        </w:rPr>
        <w:t xml:space="preserve"> and</w:t>
      </w:r>
    </w:p>
    <w:p w:rsidR="00D12201" w:rsidRPr="000E52C9" w:rsidRDefault="000E52C9" w:rsidP="000E52C9">
      <w:pPr>
        <w:pStyle w:val="SingleTxtG"/>
      </w:pPr>
      <w:r>
        <w:rPr>
          <w:rFonts w:eastAsia="Malgun Gothic"/>
        </w:rPr>
        <w:tab/>
      </w:r>
      <w:r w:rsidR="00504DD7" w:rsidRPr="000E52C9">
        <w:rPr>
          <w:rFonts w:eastAsia="Malgun Gothic"/>
        </w:rPr>
        <w:t>(k)</w:t>
      </w:r>
      <w:r w:rsidR="00504DD7" w:rsidRPr="000E52C9">
        <w:rPr>
          <w:rFonts w:eastAsia="Malgun Gothic"/>
        </w:rPr>
        <w:tab/>
      </w:r>
      <w:r w:rsidR="009776E3" w:rsidRPr="000E52C9">
        <w:rPr>
          <w:rFonts w:eastAsia="Malgun Gothic"/>
        </w:rPr>
        <w:t xml:space="preserve">Law on Combatting Trafficking in Persons </w:t>
      </w:r>
      <w:r w:rsidR="00DA38FD" w:rsidRPr="000E52C9">
        <w:rPr>
          <w:rFonts w:eastAsia="Malgun Gothic"/>
        </w:rPr>
        <w:t>(14 December 2007).</w:t>
      </w:r>
    </w:p>
    <w:p w:rsidR="000F0F0F" w:rsidRPr="000E52C9" w:rsidRDefault="00197950" w:rsidP="000E52C9">
      <w:pPr>
        <w:pStyle w:val="HChG"/>
        <w:rPr>
          <w:rFonts w:eastAsia="Malgun Gothic"/>
        </w:rPr>
      </w:pPr>
      <w:r w:rsidRPr="000E52C9">
        <w:rPr>
          <w:rFonts w:eastAsia="Malgun Gothic"/>
        </w:rPr>
        <w:tab/>
      </w:r>
      <w:r w:rsidR="00671BB9" w:rsidRPr="000E52C9">
        <w:rPr>
          <w:rFonts w:eastAsia="Malgun Gothic"/>
        </w:rPr>
        <w:t>II</w:t>
      </w:r>
      <w:r w:rsidRPr="000E52C9">
        <w:rPr>
          <w:rFonts w:eastAsia="Malgun Gothic"/>
        </w:rPr>
        <w:t>I.</w:t>
      </w:r>
      <w:r w:rsidRPr="000E52C9">
        <w:rPr>
          <w:rFonts w:eastAsia="Malgun Gothic"/>
        </w:rPr>
        <w:tab/>
      </w:r>
      <w:r w:rsidR="000F0F0F" w:rsidRPr="000E52C9">
        <w:rPr>
          <w:rFonts w:eastAsia="Malgun Gothic"/>
        </w:rPr>
        <w:t>Main areas of concern and recommendations</w:t>
      </w:r>
    </w:p>
    <w:p w:rsidR="000F0F0F" w:rsidRPr="000E52C9" w:rsidRDefault="00197950" w:rsidP="000E52C9">
      <w:pPr>
        <w:pStyle w:val="H1G"/>
      </w:pPr>
      <w:r w:rsidRPr="000E52C9">
        <w:tab/>
      </w:r>
      <w:r w:rsidR="00575954" w:rsidRPr="000E52C9">
        <w:t>A.</w:t>
      </w:r>
      <w:r w:rsidR="00575954" w:rsidRPr="000E52C9">
        <w:tab/>
      </w:r>
      <w:r w:rsidR="000F0F0F" w:rsidRPr="000E52C9">
        <w:t>General measures of implementation (arts. 4, 42 and 44, para. 6</w:t>
      </w:r>
      <w:r w:rsidR="001D7673" w:rsidRPr="000E52C9">
        <w:t>,</w:t>
      </w:r>
      <w:r w:rsidR="000F0F0F" w:rsidRPr="000E52C9">
        <w:t xml:space="preserve"> of the Convention)</w:t>
      </w:r>
    </w:p>
    <w:p w:rsidR="00C91721" w:rsidRPr="000E52C9" w:rsidRDefault="00C91721" w:rsidP="000E52C9">
      <w:pPr>
        <w:pStyle w:val="H23G"/>
      </w:pPr>
      <w:r w:rsidRPr="000E52C9">
        <w:tab/>
      </w:r>
      <w:r w:rsidRPr="000E52C9">
        <w:tab/>
        <w:t>Previous recommendations</w:t>
      </w:r>
    </w:p>
    <w:p w:rsidR="008529F8" w:rsidRPr="000E52C9" w:rsidRDefault="00F24EBF" w:rsidP="000E52C9">
      <w:pPr>
        <w:pStyle w:val="SingleTxtG"/>
        <w:rPr>
          <w:rFonts w:eastAsia="Malgun Gothic"/>
          <w:b/>
        </w:rPr>
      </w:pPr>
      <w:r>
        <w:rPr>
          <w:rFonts w:eastAsia="Malgun Gothic"/>
        </w:rPr>
        <w:t>5</w:t>
      </w:r>
      <w:r w:rsidR="000E52C9" w:rsidRPr="000E52C9">
        <w:rPr>
          <w:rFonts w:eastAsia="Malgun Gothic"/>
        </w:rPr>
        <w:t>.</w:t>
      </w:r>
      <w:r w:rsidR="000E52C9">
        <w:rPr>
          <w:rFonts w:eastAsia="Malgun Gothic"/>
          <w:b/>
        </w:rPr>
        <w:tab/>
      </w:r>
      <w:r w:rsidR="006B3341" w:rsidRPr="000E52C9">
        <w:rPr>
          <w:rFonts w:eastAsia="Malgun Gothic"/>
          <w:b/>
        </w:rPr>
        <w:t xml:space="preserve">The Committee recommends that the State party take all necessary measures to address </w:t>
      </w:r>
      <w:r w:rsidR="009B30F5" w:rsidRPr="000E52C9">
        <w:rPr>
          <w:rFonts w:eastAsia="Malgun Gothic"/>
          <w:b/>
        </w:rPr>
        <w:t>its previous</w:t>
      </w:r>
      <w:r w:rsidR="006B3341" w:rsidRPr="000E52C9">
        <w:rPr>
          <w:rFonts w:eastAsia="Malgun Gothic"/>
          <w:b/>
        </w:rPr>
        <w:t xml:space="preserve"> recommendations (CRC/C/</w:t>
      </w:r>
      <w:r w:rsidR="00B677CA" w:rsidRPr="000E52C9">
        <w:rPr>
          <w:rFonts w:eastAsia="Malgun Gothic"/>
          <w:b/>
        </w:rPr>
        <w:t>TKM/CO/1</w:t>
      </w:r>
      <w:r w:rsidR="006B3341" w:rsidRPr="000E52C9">
        <w:rPr>
          <w:rFonts w:eastAsia="Malgun Gothic"/>
          <w:b/>
        </w:rPr>
        <w:t xml:space="preserve">) that have not been implemented or not sufficiently implemented and, in particular, those related to </w:t>
      </w:r>
      <w:r w:rsidR="008529F8" w:rsidRPr="000E52C9">
        <w:rPr>
          <w:rFonts w:eastAsia="Malgun Gothic"/>
          <w:b/>
        </w:rPr>
        <w:t xml:space="preserve">the </w:t>
      </w:r>
      <w:r w:rsidR="00DD5ECD" w:rsidRPr="000E52C9">
        <w:rPr>
          <w:rFonts w:eastAsia="Malgun Gothic"/>
          <w:b/>
        </w:rPr>
        <w:t>coordination (para.</w:t>
      </w:r>
      <w:r w:rsidR="003E2745" w:rsidRPr="000E52C9">
        <w:rPr>
          <w:rFonts w:eastAsia="Malgun Gothic"/>
          <w:b/>
        </w:rPr>
        <w:t xml:space="preserve"> </w:t>
      </w:r>
      <w:r w:rsidR="00DD5ECD" w:rsidRPr="000E52C9">
        <w:rPr>
          <w:rFonts w:eastAsia="Malgun Gothic"/>
          <w:b/>
        </w:rPr>
        <w:t>8), the</w:t>
      </w:r>
      <w:r w:rsidR="00256EF9" w:rsidRPr="000E52C9">
        <w:rPr>
          <w:rFonts w:eastAsia="Malgun Gothic"/>
          <w:b/>
        </w:rPr>
        <w:t xml:space="preserve"> </w:t>
      </w:r>
      <w:r w:rsidR="008529F8" w:rsidRPr="000E52C9">
        <w:rPr>
          <w:rFonts w:eastAsia="Malgun Gothic"/>
          <w:b/>
        </w:rPr>
        <w:t>establishment of an indep</w:t>
      </w:r>
      <w:r w:rsidR="008C6C86">
        <w:rPr>
          <w:rFonts w:eastAsia="Malgun Gothic"/>
          <w:b/>
        </w:rPr>
        <w:t>endent human rights institution</w:t>
      </w:r>
      <w:r w:rsidR="008529F8" w:rsidRPr="000E52C9">
        <w:rPr>
          <w:rFonts w:eastAsia="Malgun Gothic"/>
          <w:b/>
        </w:rPr>
        <w:t xml:space="preserve"> in accordance with the Paris Principles (para. 12),</w:t>
      </w:r>
      <w:r w:rsidR="00C91721" w:rsidRPr="000E52C9">
        <w:rPr>
          <w:rFonts w:eastAsia="Malgun Gothic"/>
          <w:b/>
        </w:rPr>
        <w:t xml:space="preserve"> </w:t>
      </w:r>
      <w:r w:rsidR="00DD5ECD" w:rsidRPr="000E52C9">
        <w:rPr>
          <w:rFonts w:eastAsia="Malgun Gothic"/>
          <w:b/>
        </w:rPr>
        <w:t>data collection (para. 16)</w:t>
      </w:r>
      <w:r w:rsidR="00C91721" w:rsidRPr="000E52C9">
        <w:rPr>
          <w:rFonts w:eastAsia="Malgun Gothic"/>
          <w:b/>
        </w:rPr>
        <w:t>,</w:t>
      </w:r>
      <w:r w:rsidR="00541A1C" w:rsidRPr="000E52C9">
        <w:rPr>
          <w:rFonts w:eastAsia="Malgun Gothic"/>
          <w:b/>
        </w:rPr>
        <w:t xml:space="preserve"> best interests of the child (para. 29),</w:t>
      </w:r>
      <w:r w:rsidR="00AF788A" w:rsidRPr="000E52C9">
        <w:rPr>
          <w:rFonts w:eastAsia="Malgun Gothic"/>
          <w:b/>
        </w:rPr>
        <w:t xml:space="preserve"> </w:t>
      </w:r>
      <w:r>
        <w:rPr>
          <w:rFonts w:eastAsia="Malgun Gothic"/>
          <w:b/>
        </w:rPr>
        <w:t xml:space="preserve">respect for the views of the child (para. 31), </w:t>
      </w:r>
      <w:r w:rsidR="00541A1C" w:rsidRPr="000E52C9">
        <w:rPr>
          <w:rFonts w:eastAsia="Malgun Gothic"/>
          <w:b/>
        </w:rPr>
        <w:t>alternative care for children (para. 39)</w:t>
      </w:r>
      <w:r w:rsidR="00DD5ECD" w:rsidRPr="000E52C9">
        <w:rPr>
          <w:rFonts w:eastAsia="Malgun Gothic"/>
          <w:b/>
        </w:rPr>
        <w:t xml:space="preserve"> and</w:t>
      </w:r>
      <w:r w:rsidR="00541A1C" w:rsidRPr="000E52C9">
        <w:rPr>
          <w:rFonts w:eastAsia="Malgun Gothic"/>
          <w:b/>
        </w:rPr>
        <w:t xml:space="preserve"> </w:t>
      </w:r>
      <w:r w:rsidR="009776E3" w:rsidRPr="000E52C9">
        <w:rPr>
          <w:rFonts w:eastAsia="Malgun Gothic"/>
          <w:b/>
        </w:rPr>
        <w:t>standard of living</w:t>
      </w:r>
      <w:r w:rsidR="00534363" w:rsidRPr="000E52C9">
        <w:rPr>
          <w:rFonts w:eastAsia="Malgun Gothic"/>
          <w:b/>
        </w:rPr>
        <w:t xml:space="preserve"> (para. 58)</w:t>
      </w:r>
      <w:r w:rsidR="00DD5ECD" w:rsidRPr="000E52C9">
        <w:rPr>
          <w:rFonts w:eastAsia="Malgun Gothic"/>
          <w:b/>
        </w:rPr>
        <w:t>.</w:t>
      </w:r>
    </w:p>
    <w:p w:rsidR="000F0F0F" w:rsidRPr="000E52C9" w:rsidRDefault="00C14CD7" w:rsidP="000E52C9">
      <w:pPr>
        <w:pStyle w:val="H23G"/>
      </w:pPr>
      <w:r w:rsidRPr="000E52C9">
        <w:tab/>
      </w:r>
      <w:r w:rsidRPr="000E52C9">
        <w:tab/>
      </w:r>
      <w:r w:rsidR="000F0F0F" w:rsidRPr="000E52C9">
        <w:t>Comprehensive policy and strategy</w:t>
      </w:r>
    </w:p>
    <w:p w:rsidR="009D3A84" w:rsidRPr="000E52C9" w:rsidRDefault="00280162" w:rsidP="000E52C9">
      <w:pPr>
        <w:pStyle w:val="SingleTxtG"/>
      </w:pPr>
      <w:r>
        <w:t>6</w:t>
      </w:r>
      <w:r w:rsidR="000E52C9">
        <w:t>.</w:t>
      </w:r>
      <w:r w:rsidR="000E52C9">
        <w:tab/>
      </w:r>
      <w:r w:rsidR="00221B2B" w:rsidRPr="000E52C9">
        <w:t>While noting the information provided through the dialogue that the text of the National Plan of Action for Children</w:t>
      </w:r>
      <w:r w:rsidR="009D3A84" w:rsidRPr="000E52C9">
        <w:t xml:space="preserve"> </w:t>
      </w:r>
      <w:r w:rsidR="00274EDD" w:rsidRPr="000E52C9">
        <w:t xml:space="preserve">was pending adoption </w:t>
      </w:r>
      <w:r w:rsidR="00205685" w:rsidRPr="000E52C9">
        <w:t xml:space="preserve">in order to include the outcome of the </w:t>
      </w:r>
      <w:r w:rsidR="00274EDD" w:rsidRPr="000E52C9">
        <w:t xml:space="preserve">review </w:t>
      </w:r>
      <w:r w:rsidR="00205685" w:rsidRPr="000E52C9">
        <w:t xml:space="preserve">of the State </w:t>
      </w:r>
      <w:r w:rsidR="00274EDD" w:rsidRPr="000E52C9">
        <w:t xml:space="preserve">party’s </w:t>
      </w:r>
      <w:r w:rsidR="005F6D93" w:rsidRPr="000E52C9">
        <w:t>report</w:t>
      </w:r>
      <w:r w:rsidR="00205685" w:rsidRPr="000E52C9">
        <w:t xml:space="preserve"> by the Committee, t</w:t>
      </w:r>
      <w:r w:rsidR="001730A6" w:rsidRPr="000E52C9">
        <w:t xml:space="preserve">he Committee </w:t>
      </w:r>
      <w:r w:rsidR="00205685" w:rsidRPr="000E52C9">
        <w:t xml:space="preserve">remains concerned </w:t>
      </w:r>
      <w:r w:rsidR="009D3A84" w:rsidRPr="000E52C9">
        <w:t>at</w:t>
      </w:r>
      <w:r w:rsidR="005311E5" w:rsidRPr="000E52C9">
        <w:t xml:space="preserve"> the </w:t>
      </w:r>
      <w:r w:rsidR="00274EDD" w:rsidRPr="000E52C9">
        <w:t xml:space="preserve">previous </w:t>
      </w:r>
      <w:r w:rsidR="005311E5" w:rsidRPr="000E52C9">
        <w:t>delays in adoption of the National Plan and</w:t>
      </w:r>
      <w:r w:rsidR="009D3A84" w:rsidRPr="000E52C9">
        <w:t xml:space="preserve"> the lack of a comprehensive</w:t>
      </w:r>
      <w:r w:rsidR="00734F7C" w:rsidRPr="000E52C9">
        <w:t xml:space="preserve"> strategy for the implementation of the Convention </w:t>
      </w:r>
      <w:r w:rsidR="00205685" w:rsidRPr="000E52C9">
        <w:t xml:space="preserve">in the State party. </w:t>
      </w:r>
    </w:p>
    <w:p w:rsidR="00C9180E" w:rsidRPr="000E52C9" w:rsidRDefault="00280162" w:rsidP="000E52C9">
      <w:pPr>
        <w:pStyle w:val="SingleTxtG"/>
        <w:rPr>
          <w:b/>
        </w:rPr>
      </w:pPr>
      <w:r>
        <w:t>7</w:t>
      </w:r>
      <w:r w:rsidR="000E52C9" w:rsidRPr="00E25B99">
        <w:t>.</w:t>
      </w:r>
      <w:r w:rsidR="000E52C9">
        <w:rPr>
          <w:b/>
        </w:rPr>
        <w:tab/>
      </w:r>
      <w:r w:rsidR="001730A6" w:rsidRPr="000E52C9">
        <w:rPr>
          <w:b/>
        </w:rPr>
        <w:t xml:space="preserve">The Committee </w:t>
      </w:r>
      <w:r w:rsidR="00734F7C" w:rsidRPr="000E52C9">
        <w:rPr>
          <w:b/>
        </w:rPr>
        <w:t xml:space="preserve">reiterates its previous recommendation (CRC/C/TKM/CO/1, para. 10) and </w:t>
      </w:r>
      <w:r w:rsidR="001730A6" w:rsidRPr="000E52C9">
        <w:rPr>
          <w:b/>
        </w:rPr>
        <w:t xml:space="preserve">urges the State party </w:t>
      </w:r>
      <w:r w:rsidR="00274EDD" w:rsidRPr="000E52C9">
        <w:rPr>
          <w:b/>
        </w:rPr>
        <w:t xml:space="preserve">to expedite the adoption of the </w:t>
      </w:r>
      <w:r w:rsidR="001730A6" w:rsidRPr="000E52C9">
        <w:rPr>
          <w:b/>
        </w:rPr>
        <w:t>National Plan of Action for Children</w:t>
      </w:r>
      <w:r w:rsidR="00C20101" w:rsidRPr="000E52C9">
        <w:rPr>
          <w:b/>
        </w:rPr>
        <w:t xml:space="preserve"> taking into account the present Concluding observations of the Committee</w:t>
      </w:r>
      <w:r w:rsidR="00221B2B" w:rsidRPr="000E52C9">
        <w:rPr>
          <w:b/>
        </w:rPr>
        <w:t xml:space="preserve">. Furthermore, the Committee </w:t>
      </w:r>
      <w:r w:rsidR="00274EDD" w:rsidRPr="000E52C9">
        <w:rPr>
          <w:b/>
        </w:rPr>
        <w:t xml:space="preserve">recommends </w:t>
      </w:r>
      <w:r w:rsidR="003E2745" w:rsidRPr="000E52C9">
        <w:rPr>
          <w:b/>
        </w:rPr>
        <w:t>that</w:t>
      </w:r>
      <w:r w:rsidR="00221B2B" w:rsidRPr="000E52C9">
        <w:rPr>
          <w:b/>
        </w:rPr>
        <w:t xml:space="preserve"> the State party</w:t>
      </w:r>
      <w:r w:rsidR="00C20101" w:rsidRPr="000E52C9">
        <w:rPr>
          <w:b/>
        </w:rPr>
        <w:t>, in consultation with all stakeholders, including children, parents and civil society,</w:t>
      </w:r>
      <w:r w:rsidR="000F5DA6" w:rsidRPr="000E52C9">
        <w:rPr>
          <w:b/>
        </w:rPr>
        <w:t xml:space="preserve"> </w:t>
      </w:r>
      <w:r w:rsidR="00ED1CB7" w:rsidRPr="000E52C9">
        <w:rPr>
          <w:b/>
        </w:rPr>
        <w:t xml:space="preserve">develop </w:t>
      </w:r>
      <w:r w:rsidR="00274EDD" w:rsidRPr="000E52C9">
        <w:rPr>
          <w:b/>
        </w:rPr>
        <w:t xml:space="preserve">a comprehensive strategy </w:t>
      </w:r>
      <w:r w:rsidR="00C20101" w:rsidRPr="000E52C9">
        <w:rPr>
          <w:b/>
        </w:rPr>
        <w:t xml:space="preserve">to implement the principles and provisions of the Convention, </w:t>
      </w:r>
      <w:r w:rsidR="00221B2B" w:rsidRPr="000E52C9">
        <w:rPr>
          <w:b/>
        </w:rPr>
        <w:t xml:space="preserve">as well as </w:t>
      </w:r>
      <w:r w:rsidR="001730A6" w:rsidRPr="000E52C9">
        <w:rPr>
          <w:b/>
        </w:rPr>
        <w:t>to provide</w:t>
      </w:r>
      <w:r w:rsidR="008879A8" w:rsidRPr="000E52C9">
        <w:rPr>
          <w:b/>
        </w:rPr>
        <w:t xml:space="preserve"> sufficient human, technical and financial resources</w:t>
      </w:r>
      <w:r w:rsidR="001730A6" w:rsidRPr="000E52C9">
        <w:rPr>
          <w:b/>
        </w:rPr>
        <w:t xml:space="preserve"> for its implementation.</w:t>
      </w:r>
    </w:p>
    <w:p w:rsidR="000F0F0F" w:rsidRPr="004C42CF" w:rsidRDefault="004C42CF" w:rsidP="004C42CF">
      <w:pPr>
        <w:pStyle w:val="H23G"/>
        <w:rPr>
          <w:rFonts w:eastAsia="Malgun Gothic"/>
        </w:rPr>
      </w:pPr>
      <w:r>
        <w:rPr>
          <w:rFonts w:eastAsia="Malgun Gothic"/>
        </w:rPr>
        <w:tab/>
      </w:r>
      <w:r>
        <w:rPr>
          <w:rFonts w:eastAsia="Malgun Gothic"/>
        </w:rPr>
        <w:tab/>
      </w:r>
      <w:r w:rsidR="000F0F0F" w:rsidRPr="004C42CF">
        <w:rPr>
          <w:rFonts w:eastAsia="Malgun Gothic"/>
        </w:rPr>
        <w:t>Coordination</w:t>
      </w:r>
    </w:p>
    <w:p w:rsidR="002E61AA" w:rsidRPr="000E52C9" w:rsidRDefault="00280162" w:rsidP="000E52C9">
      <w:pPr>
        <w:pStyle w:val="SingleTxtG"/>
      </w:pPr>
      <w:r>
        <w:t>8</w:t>
      </w:r>
      <w:r w:rsidR="000E52C9">
        <w:t>.</w:t>
      </w:r>
      <w:r w:rsidR="000E52C9">
        <w:tab/>
      </w:r>
      <w:r w:rsidR="002A1EB6" w:rsidRPr="000E52C9">
        <w:t xml:space="preserve">While noting </w:t>
      </w:r>
      <w:r w:rsidR="00734F7C" w:rsidRPr="000E52C9">
        <w:t>the</w:t>
      </w:r>
      <w:r w:rsidR="002A1EB6" w:rsidRPr="000E52C9">
        <w:t xml:space="preserve"> </w:t>
      </w:r>
      <w:r w:rsidR="002E61AA" w:rsidRPr="000E52C9">
        <w:t>existence</w:t>
      </w:r>
      <w:r w:rsidR="00205685" w:rsidRPr="000E52C9">
        <w:t xml:space="preserve"> </w:t>
      </w:r>
      <w:r w:rsidR="002A1EB6" w:rsidRPr="000E52C9">
        <w:t xml:space="preserve">of the Interagency Commission on Enforcing Turkmenistan’s International Obligations on Human Rights and International Humanitarian </w:t>
      </w:r>
      <w:r w:rsidR="002A1EB6" w:rsidRPr="000E52C9">
        <w:lastRenderedPageBreak/>
        <w:t xml:space="preserve">Law, the Committee </w:t>
      </w:r>
      <w:r w:rsidR="00205685" w:rsidRPr="000E52C9">
        <w:t xml:space="preserve">notes with concern that there is still no special body responsible for the </w:t>
      </w:r>
      <w:r w:rsidR="00734F7C" w:rsidRPr="000E52C9">
        <w:t xml:space="preserve">coordination and the </w:t>
      </w:r>
      <w:r w:rsidR="002A1EB6" w:rsidRPr="000E52C9">
        <w:t xml:space="preserve">implementation of </w:t>
      </w:r>
      <w:r w:rsidR="00734F7C" w:rsidRPr="000E52C9">
        <w:t xml:space="preserve">the </w:t>
      </w:r>
      <w:r w:rsidR="00B677CA" w:rsidRPr="000E52C9">
        <w:t xml:space="preserve">State party obligations under the </w:t>
      </w:r>
      <w:r w:rsidR="00734F7C" w:rsidRPr="000E52C9">
        <w:t>Convention.</w:t>
      </w:r>
    </w:p>
    <w:p w:rsidR="000F0F0F" w:rsidRPr="000E52C9" w:rsidRDefault="00280162" w:rsidP="000E52C9">
      <w:pPr>
        <w:pStyle w:val="SingleTxtG"/>
        <w:rPr>
          <w:b/>
        </w:rPr>
      </w:pPr>
      <w:r>
        <w:t>9</w:t>
      </w:r>
      <w:r w:rsidR="000E52C9" w:rsidRPr="000E52C9">
        <w:t>.</w:t>
      </w:r>
      <w:r w:rsidR="000E52C9">
        <w:rPr>
          <w:b/>
        </w:rPr>
        <w:tab/>
      </w:r>
      <w:r w:rsidR="00144154" w:rsidRPr="000E52C9">
        <w:rPr>
          <w:b/>
        </w:rPr>
        <w:t xml:space="preserve">The Committee urges the State party to </w:t>
      </w:r>
      <w:r w:rsidR="00534363" w:rsidRPr="000E52C9">
        <w:rPr>
          <w:b/>
        </w:rPr>
        <w:t xml:space="preserve">establish an </w:t>
      </w:r>
      <w:r w:rsidR="007B64A5" w:rsidRPr="000E52C9">
        <w:rPr>
          <w:b/>
        </w:rPr>
        <w:t>efficient</w:t>
      </w:r>
      <w:r w:rsidR="00534363" w:rsidRPr="000E52C9">
        <w:rPr>
          <w:b/>
        </w:rPr>
        <w:t xml:space="preserve"> body at a high interministerial level with sufficient authority and </w:t>
      </w:r>
      <w:r w:rsidR="00021E3F" w:rsidRPr="000E52C9">
        <w:rPr>
          <w:b/>
        </w:rPr>
        <w:t xml:space="preserve">a </w:t>
      </w:r>
      <w:r w:rsidR="00534363" w:rsidRPr="000E52C9">
        <w:rPr>
          <w:b/>
        </w:rPr>
        <w:t xml:space="preserve">strong mandate to coordinate all activities related to the implementation of the Convention at cross-sectoral, national, regional and local levels. The State party should ensure that such a coordinating body is provided with the necessary human, technical and financial resources for its effective operation. </w:t>
      </w:r>
      <w:r w:rsidR="00021E3F" w:rsidRPr="000E52C9">
        <w:rPr>
          <w:b/>
        </w:rPr>
        <w:t>As an immediate measure, the Committee recommends that the State party create a working group on children’s rights within the Interagency Commission to streamline and prioritize children’s rights in its activities.</w:t>
      </w:r>
      <w:r w:rsidR="000F5DA6" w:rsidRPr="000E52C9">
        <w:rPr>
          <w:b/>
        </w:rPr>
        <w:t xml:space="preserve"> </w:t>
      </w:r>
    </w:p>
    <w:p w:rsidR="000F0F0F" w:rsidRPr="00534363" w:rsidRDefault="009F12E0" w:rsidP="009F12E0">
      <w:pPr>
        <w:pStyle w:val="H23G"/>
        <w:rPr>
          <w:rFonts w:eastAsia="Malgun Gothic"/>
          <w:color w:val="000000"/>
          <w:lang w:eastAsia="en-GB"/>
        </w:rPr>
      </w:pPr>
      <w:r w:rsidRPr="00EF4C80">
        <w:rPr>
          <w:rFonts w:eastAsia="Malgun Gothic"/>
          <w:lang w:eastAsia="zh-CN"/>
        </w:rPr>
        <w:tab/>
      </w:r>
      <w:r w:rsidRPr="00EF4C80">
        <w:rPr>
          <w:rFonts w:eastAsia="Malgun Gothic"/>
          <w:lang w:eastAsia="zh-CN"/>
        </w:rPr>
        <w:tab/>
      </w:r>
      <w:r w:rsidR="000F0F0F" w:rsidRPr="00534363">
        <w:rPr>
          <w:rFonts w:eastAsia="Malgun Gothic"/>
          <w:lang w:eastAsia="zh-CN"/>
        </w:rPr>
        <w:t>Allocation of resources</w:t>
      </w:r>
    </w:p>
    <w:p w:rsidR="004075E0" w:rsidRPr="000E52C9" w:rsidRDefault="000E52C9" w:rsidP="000E52C9">
      <w:pPr>
        <w:pStyle w:val="SingleTxtG"/>
      </w:pPr>
      <w:r>
        <w:t>1</w:t>
      </w:r>
      <w:r w:rsidR="00280162">
        <w:t>0</w:t>
      </w:r>
      <w:r>
        <w:t>.</w:t>
      </w:r>
      <w:r>
        <w:tab/>
      </w:r>
      <w:r w:rsidR="005C0ECD" w:rsidRPr="000E52C9">
        <w:t>W</w:t>
      </w:r>
      <w:r w:rsidR="008F174A" w:rsidRPr="000E52C9">
        <w:t>hile noting with appreciation t</w:t>
      </w:r>
      <w:r w:rsidR="00A22F0B" w:rsidRPr="000E52C9">
        <w:t xml:space="preserve">he increase by fifteen percent </w:t>
      </w:r>
      <w:r w:rsidR="00534363" w:rsidRPr="000E52C9">
        <w:t xml:space="preserve">in the State party </w:t>
      </w:r>
      <w:r w:rsidR="00A22F0B" w:rsidRPr="000E52C9">
        <w:t xml:space="preserve">of </w:t>
      </w:r>
      <w:r w:rsidR="008F174A" w:rsidRPr="000E52C9">
        <w:t xml:space="preserve">the funding for public </w:t>
      </w:r>
      <w:r w:rsidR="00E5236B" w:rsidRPr="000E52C9">
        <w:t>and social services</w:t>
      </w:r>
      <w:r w:rsidR="008F174A" w:rsidRPr="000E52C9">
        <w:t xml:space="preserve"> in 2014, </w:t>
      </w:r>
      <w:r w:rsidR="005C0ECD" w:rsidRPr="000E52C9">
        <w:t xml:space="preserve">the Committee </w:t>
      </w:r>
      <w:r w:rsidR="00A22F0B" w:rsidRPr="000E52C9">
        <w:t xml:space="preserve">is concerned </w:t>
      </w:r>
      <w:r w:rsidR="00DC66F8" w:rsidRPr="000E52C9">
        <w:t>about</w:t>
      </w:r>
      <w:r w:rsidR="00A22F0B" w:rsidRPr="000E52C9">
        <w:t xml:space="preserve"> </w:t>
      </w:r>
      <w:r w:rsidR="009D7D1B" w:rsidRPr="000E52C9">
        <w:t xml:space="preserve">the </w:t>
      </w:r>
      <w:r w:rsidR="003D439B" w:rsidRPr="000E52C9">
        <w:t xml:space="preserve">insufficient </w:t>
      </w:r>
      <w:r w:rsidR="008F174A" w:rsidRPr="000E52C9">
        <w:t xml:space="preserve">budgetary </w:t>
      </w:r>
      <w:r w:rsidR="00DC66F8" w:rsidRPr="000E52C9">
        <w:t xml:space="preserve">allocation and human resources for the implementation of the principles and provisions of the Convention to ensure that all children enjoy their rights, </w:t>
      </w:r>
      <w:r w:rsidR="00D74514" w:rsidRPr="000E52C9">
        <w:t>in particular children</w:t>
      </w:r>
      <w:r w:rsidR="00C91721" w:rsidRPr="000E52C9">
        <w:t xml:space="preserve"> in vulnerable situations</w:t>
      </w:r>
      <w:r w:rsidR="00D74514" w:rsidRPr="000E52C9">
        <w:t>, i</w:t>
      </w:r>
      <w:r w:rsidR="00534363" w:rsidRPr="000E52C9">
        <w:t>ncluding children with disabilities and children living in rural areas</w:t>
      </w:r>
      <w:r w:rsidR="00DC66F8" w:rsidRPr="000E52C9">
        <w:t xml:space="preserve">. </w:t>
      </w:r>
      <w:r w:rsidR="00A22F0B" w:rsidRPr="000E52C9">
        <w:t xml:space="preserve">Furthermore, the Committee </w:t>
      </w:r>
      <w:r w:rsidR="00D74514" w:rsidRPr="000E52C9">
        <w:t>is concerned a</w:t>
      </w:r>
      <w:r w:rsidR="00DC66F8" w:rsidRPr="000E52C9">
        <w:t>bout</w:t>
      </w:r>
      <w:r w:rsidR="00D74514" w:rsidRPr="000E52C9">
        <w:t xml:space="preserve"> the pervasiveness of corruption in the State party’s institutions</w:t>
      </w:r>
      <w:r w:rsidR="00205685" w:rsidRPr="000E52C9">
        <w:t xml:space="preserve">, </w:t>
      </w:r>
      <w:r w:rsidR="00D74514" w:rsidRPr="000E52C9">
        <w:t>which constitutes a serious obstacle to the efficient use of the</w:t>
      </w:r>
      <w:r w:rsidR="00534363" w:rsidRPr="000E52C9">
        <w:t xml:space="preserve"> S</w:t>
      </w:r>
      <w:r w:rsidR="00D74514" w:rsidRPr="000E52C9">
        <w:t>tate party’s resources.</w:t>
      </w:r>
    </w:p>
    <w:p w:rsidR="00FE426D" w:rsidRPr="000E52C9" w:rsidRDefault="000E52C9" w:rsidP="000E52C9">
      <w:pPr>
        <w:pStyle w:val="SingleTxtG"/>
        <w:rPr>
          <w:b/>
        </w:rPr>
      </w:pPr>
      <w:r>
        <w:rPr>
          <w:b/>
        </w:rPr>
        <w:t>1</w:t>
      </w:r>
      <w:r w:rsidR="00280162">
        <w:rPr>
          <w:b/>
        </w:rPr>
        <w:t>1</w:t>
      </w:r>
      <w:r>
        <w:rPr>
          <w:b/>
        </w:rPr>
        <w:t>.</w:t>
      </w:r>
      <w:r>
        <w:rPr>
          <w:b/>
        </w:rPr>
        <w:tab/>
      </w:r>
      <w:r w:rsidR="003A04BF" w:rsidRPr="000E52C9">
        <w:rPr>
          <w:b/>
        </w:rPr>
        <w:t xml:space="preserve">In the light of its </w:t>
      </w:r>
      <w:r w:rsidR="0014754B" w:rsidRPr="000E52C9">
        <w:rPr>
          <w:b/>
        </w:rPr>
        <w:t>D</w:t>
      </w:r>
      <w:r w:rsidR="003A04BF" w:rsidRPr="000E52C9">
        <w:rPr>
          <w:b/>
        </w:rPr>
        <w:t xml:space="preserve">ay of </w:t>
      </w:r>
      <w:r w:rsidR="0014754B" w:rsidRPr="000E52C9">
        <w:rPr>
          <w:b/>
        </w:rPr>
        <w:t>G</w:t>
      </w:r>
      <w:r w:rsidR="003A04BF" w:rsidRPr="000E52C9">
        <w:rPr>
          <w:b/>
        </w:rPr>
        <w:t xml:space="preserve">eneral </w:t>
      </w:r>
      <w:r w:rsidR="0014754B" w:rsidRPr="000E52C9">
        <w:rPr>
          <w:b/>
        </w:rPr>
        <w:t>D</w:t>
      </w:r>
      <w:r w:rsidR="003A04BF" w:rsidRPr="000E52C9">
        <w:rPr>
          <w:b/>
        </w:rPr>
        <w:t xml:space="preserve">iscussion </w:t>
      </w:r>
      <w:r w:rsidR="00997612" w:rsidRPr="000E52C9">
        <w:rPr>
          <w:b/>
        </w:rPr>
        <w:t xml:space="preserve">in 2007 </w:t>
      </w:r>
      <w:r w:rsidR="003A04BF" w:rsidRPr="000E52C9">
        <w:rPr>
          <w:b/>
        </w:rPr>
        <w:t>on “Resources for the Rights of the Ch</w:t>
      </w:r>
      <w:r w:rsidR="001D7397" w:rsidRPr="000E52C9">
        <w:rPr>
          <w:b/>
        </w:rPr>
        <w:t>ild – Responsibility of States”</w:t>
      </w:r>
      <w:r w:rsidR="003A04BF" w:rsidRPr="000E52C9">
        <w:rPr>
          <w:b/>
        </w:rPr>
        <w:t>, the Committee recommends that the State party</w:t>
      </w:r>
      <w:r w:rsidR="00FE426D" w:rsidRPr="000E52C9">
        <w:rPr>
          <w:b/>
        </w:rPr>
        <w:t>:</w:t>
      </w:r>
    </w:p>
    <w:p w:rsidR="00D31460" w:rsidRPr="000E52C9" w:rsidRDefault="004C42CF" w:rsidP="000E52C9">
      <w:pPr>
        <w:pStyle w:val="SingleTxtG"/>
        <w:rPr>
          <w:b/>
        </w:rPr>
      </w:pPr>
      <w:r w:rsidRPr="000E52C9">
        <w:rPr>
          <w:b/>
        </w:rPr>
        <w:tab/>
        <w:t>(a)</w:t>
      </w:r>
      <w:r w:rsidRPr="000E52C9">
        <w:rPr>
          <w:b/>
        </w:rPr>
        <w:tab/>
      </w:r>
      <w:r w:rsidR="00010273" w:rsidRPr="000E52C9">
        <w:rPr>
          <w:b/>
        </w:rPr>
        <w:t>c</w:t>
      </w:r>
      <w:r w:rsidR="00FE426D" w:rsidRPr="000E52C9">
        <w:rPr>
          <w:b/>
        </w:rPr>
        <w:t xml:space="preserve">onduct a comprehensive assessment of the budget </w:t>
      </w:r>
      <w:r w:rsidR="00DC66F8" w:rsidRPr="000E52C9">
        <w:rPr>
          <w:b/>
        </w:rPr>
        <w:t xml:space="preserve">and resources needed for guaranteeing children’s rights, with particular attention to children in situations of vulnerability, including children with disabilities and children living in rural areas, </w:t>
      </w:r>
      <w:r w:rsidR="00FE426D" w:rsidRPr="000E52C9">
        <w:rPr>
          <w:b/>
        </w:rPr>
        <w:t xml:space="preserve">and allocate </w:t>
      </w:r>
      <w:r w:rsidR="00DC66F8" w:rsidRPr="000E52C9">
        <w:rPr>
          <w:b/>
        </w:rPr>
        <w:t xml:space="preserve">the necessary financial and human resources; </w:t>
      </w:r>
    </w:p>
    <w:p w:rsidR="00D74514" w:rsidRPr="000E52C9" w:rsidRDefault="004C42CF" w:rsidP="000E52C9">
      <w:pPr>
        <w:pStyle w:val="SingleTxtG"/>
        <w:rPr>
          <w:b/>
        </w:rPr>
      </w:pPr>
      <w:r w:rsidRPr="000E52C9">
        <w:rPr>
          <w:b/>
        </w:rPr>
        <w:tab/>
        <w:t>(b)</w:t>
      </w:r>
      <w:r w:rsidRPr="000E52C9">
        <w:rPr>
          <w:b/>
        </w:rPr>
        <w:tab/>
      </w:r>
      <w:r w:rsidR="00010273" w:rsidRPr="000E52C9">
        <w:rPr>
          <w:b/>
        </w:rPr>
        <w:t>e</w:t>
      </w:r>
      <w:r w:rsidR="00205685" w:rsidRPr="000E52C9">
        <w:rPr>
          <w:b/>
        </w:rPr>
        <w:t xml:space="preserve">nsure that the budget system is </w:t>
      </w:r>
      <w:r w:rsidR="00DC66F8" w:rsidRPr="000E52C9">
        <w:rPr>
          <w:b/>
        </w:rPr>
        <w:t>child-fr</w:t>
      </w:r>
      <w:r w:rsidR="00205685" w:rsidRPr="000E52C9">
        <w:rPr>
          <w:b/>
        </w:rPr>
        <w:t xml:space="preserve">iendly and </w:t>
      </w:r>
      <w:r w:rsidR="00D74514" w:rsidRPr="000E52C9">
        <w:rPr>
          <w:b/>
        </w:rPr>
        <w:t xml:space="preserve">includes </w:t>
      </w:r>
      <w:r w:rsidR="00027D8A" w:rsidRPr="000E52C9">
        <w:rPr>
          <w:b/>
        </w:rPr>
        <w:t xml:space="preserve">a </w:t>
      </w:r>
      <w:r w:rsidR="0014754B" w:rsidRPr="000E52C9">
        <w:rPr>
          <w:b/>
        </w:rPr>
        <w:t>child</w:t>
      </w:r>
      <w:r w:rsidR="00D74514" w:rsidRPr="000E52C9">
        <w:rPr>
          <w:b/>
        </w:rPr>
        <w:t xml:space="preserve"> rights perspective</w:t>
      </w:r>
      <w:r w:rsidR="00010273" w:rsidRPr="000E52C9">
        <w:rPr>
          <w:b/>
        </w:rPr>
        <w:t>,</w:t>
      </w:r>
      <w:r w:rsidR="00D74514" w:rsidRPr="000E52C9">
        <w:rPr>
          <w:b/>
        </w:rPr>
        <w:t xml:space="preserve"> and specifies clear allocations to children in the relevant sectors and agencies, including specific indicators and a tracking system; </w:t>
      </w:r>
    </w:p>
    <w:p w:rsidR="00D74514" w:rsidRPr="000E52C9" w:rsidRDefault="004C42CF" w:rsidP="000E52C9">
      <w:pPr>
        <w:pStyle w:val="SingleTxtG"/>
        <w:rPr>
          <w:b/>
        </w:rPr>
      </w:pPr>
      <w:r w:rsidRPr="000E52C9">
        <w:rPr>
          <w:b/>
        </w:rPr>
        <w:tab/>
        <w:t>(c)</w:t>
      </w:r>
      <w:r w:rsidRPr="000E52C9">
        <w:rPr>
          <w:b/>
        </w:rPr>
        <w:tab/>
      </w:r>
      <w:r w:rsidR="00515118" w:rsidRPr="000E52C9">
        <w:rPr>
          <w:b/>
        </w:rPr>
        <w:t>establish mechanisms to monitor and evaluate the efficacy, adequacy and equitability of the distribution of resources allocated to the implementation of the Convent</w:t>
      </w:r>
      <w:r w:rsidR="00515118" w:rsidRPr="000E52C9">
        <w:rPr>
          <w:rFonts w:eastAsia="Calibri"/>
          <w:b/>
        </w:rPr>
        <w:t>ion</w:t>
      </w:r>
      <w:r w:rsidR="00C91721" w:rsidRPr="000E52C9">
        <w:rPr>
          <w:b/>
        </w:rPr>
        <w:t>;</w:t>
      </w:r>
      <w:r w:rsidR="00DC66F8" w:rsidRPr="000E52C9">
        <w:rPr>
          <w:b/>
        </w:rPr>
        <w:t xml:space="preserve"> and</w:t>
      </w:r>
    </w:p>
    <w:p w:rsidR="009857C4" w:rsidRPr="000E52C9" w:rsidRDefault="004C42CF" w:rsidP="000E52C9">
      <w:pPr>
        <w:pStyle w:val="SingleTxtG"/>
        <w:rPr>
          <w:b/>
        </w:rPr>
      </w:pPr>
      <w:r w:rsidRPr="000E52C9">
        <w:rPr>
          <w:b/>
        </w:rPr>
        <w:tab/>
        <w:t>(d)</w:t>
      </w:r>
      <w:r w:rsidRPr="000E52C9">
        <w:rPr>
          <w:b/>
        </w:rPr>
        <w:tab/>
      </w:r>
      <w:r w:rsidR="00010273" w:rsidRPr="000E52C9">
        <w:rPr>
          <w:b/>
        </w:rPr>
        <w:t>t</w:t>
      </w:r>
      <w:r w:rsidR="009857C4" w:rsidRPr="000E52C9">
        <w:rPr>
          <w:b/>
        </w:rPr>
        <w:t>ake immediate measures to combat corruption and strengthen institutional capacities to effectively detect, investigate and prosecute corruption.</w:t>
      </w:r>
    </w:p>
    <w:p w:rsidR="000F0F0F" w:rsidRPr="00EF4C80" w:rsidRDefault="008879A8" w:rsidP="009F12E0">
      <w:pPr>
        <w:pStyle w:val="H23G"/>
      </w:pPr>
      <w:r w:rsidRPr="00534363">
        <w:tab/>
      </w:r>
      <w:r w:rsidR="009F12E0" w:rsidRPr="00534363">
        <w:tab/>
      </w:r>
      <w:r w:rsidR="000F0F0F" w:rsidRPr="00534363">
        <w:t xml:space="preserve">Data </w:t>
      </w:r>
      <w:r w:rsidR="00E31B5C" w:rsidRPr="00534363">
        <w:t>c</w:t>
      </w:r>
      <w:r w:rsidR="000F0F0F" w:rsidRPr="00534363">
        <w:t>ollection</w:t>
      </w:r>
    </w:p>
    <w:p w:rsidR="00395DD9" w:rsidRPr="000E52C9" w:rsidRDefault="000E52C9" w:rsidP="000E52C9">
      <w:pPr>
        <w:pStyle w:val="SingleTxtG"/>
      </w:pPr>
      <w:r>
        <w:t>1</w:t>
      </w:r>
      <w:r w:rsidR="00280162">
        <w:t>2</w:t>
      </w:r>
      <w:r>
        <w:t>.</w:t>
      </w:r>
      <w:r>
        <w:tab/>
      </w:r>
      <w:r w:rsidR="00395DD9" w:rsidRPr="000E52C9">
        <w:t xml:space="preserve">While noting with appreciation a noticeable increase in surveys and the creation of a Health Information database, in cooperation with </w:t>
      </w:r>
      <w:r w:rsidR="0094497F" w:rsidRPr="000E52C9">
        <w:t>the relevant U</w:t>
      </w:r>
      <w:r w:rsidR="008C6C86">
        <w:t xml:space="preserve">nited </w:t>
      </w:r>
      <w:r w:rsidR="0094497F" w:rsidRPr="000E52C9">
        <w:t>N</w:t>
      </w:r>
      <w:r w:rsidR="008C6C86">
        <w:t>ations</w:t>
      </w:r>
      <w:r w:rsidR="0094497F" w:rsidRPr="000E52C9">
        <w:t xml:space="preserve"> agencies, </w:t>
      </w:r>
      <w:r w:rsidR="00395DD9" w:rsidRPr="000E52C9">
        <w:t>the Committee is concerned that the c</w:t>
      </w:r>
      <w:r w:rsidR="009D7D1B" w:rsidRPr="000E52C9">
        <w:t>ollection of data on the status of child</w:t>
      </w:r>
      <w:r w:rsidR="0035168A" w:rsidRPr="000E52C9">
        <w:t>ren’s</w:t>
      </w:r>
      <w:r w:rsidR="009D7D1B" w:rsidRPr="000E52C9">
        <w:t xml:space="preserve"> rights </w:t>
      </w:r>
      <w:r w:rsidR="00395DD9" w:rsidRPr="000E52C9">
        <w:t>r</w:t>
      </w:r>
      <w:r w:rsidR="009D7D1B" w:rsidRPr="000E52C9">
        <w:t>emains weak</w:t>
      </w:r>
      <w:r w:rsidR="00395DD9" w:rsidRPr="000E52C9">
        <w:t xml:space="preserve"> and does not allow </w:t>
      </w:r>
      <w:r w:rsidR="009D7D1B" w:rsidRPr="000E52C9">
        <w:t xml:space="preserve">for disaggregation and analysis, as recommended in the </w:t>
      </w:r>
      <w:r w:rsidR="00395DD9" w:rsidRPr="000E52C9">
        <w:t xml:space="preserve">Committee’s previous </w:t>
      </w:r>
      <w:r w:rsidR="009D7D1B" w:rsidRPr="000E52C9">
        <w:t xml:space="preserve">Concluding </w:t>
      </w:r>
      <w:r w:rsidR="0035168A" w:rsidRPr="000E52C9">
        <w:t>o</w:t>
      </w:r>
      <w:r w:rsidR="009D7D1B" w:rsidRPr="000E52C9">
        <w:t xml:space="preserve">bservations </w:t>
      </w:r>
      <w:r w:rsidR="00A737C9" w:rsidRPr="000E52C9">
        <w:t xml:space="preserve">(CRC/C/TKM/CO/1, para. </w:t>
      </w:r>
      <w:r w:rsidR="0077111B" w:rsidRPr="000E52C9">
        <w:t>16)</w:t>
      </w:r>
      <w:r w:rsidR="009D7D1B" w:rsidRPr="000E52C9">
        <w:t xml:space="preserve">. </w:t>
      </w:r>
    </w:p>
    <w:p w:rsidR="000F0F0F" w:rsidRPr="000E52C9" w:rsidRDefault="000E52C9" w:rsidP="000E52C9">
      <w:pPr>
        <w:pStyle w:val="SingleTxtG"/>
        <w:rPr>
          <w:b/>
        </w:rPr>
      </w:pPr>
      <w:r w:rsidRPr="000E52C9">
        <w:t>1</w:t>
      </w:r>
      <w:r w:rsidR="00280162">
        <w:t>3</w:t>
      </w:r>
      <w:r w:rsidRPr="000E52C9">
        <w:t>.</w:t>
      </w:r>
      <w:r>
        <w:rPr>
          <w:b/>
        </w:rPr>
        <w:tab/>
      </w:r>
      <w:r w:rsidR="00997612" w:rsidRPr="000E52C9">
        <w:rPr>
          <w:b/>
        </w:rPr>
        <w:t xml:space="preserve">In </w:t>
      </w:r>
      <w:r w:rsidR="00A717B6" w:rsidRPr="000E52C9">
        <w:rPr>
          <w:b/>
        </w:rPr>
        <w:t xml:space="preserve">the </w:t>
      </w:r>
      <w:r w:rsidR="00997612" w:rsidRPr="000E52C9">
        <w:rPr>
          <w:b/>
        </w:rPr>
        <w:t xml:space="preserve">light of its </w:t>
      </w:r>
      <w:r w:rsidR="0035168A" w:rsidRPr="000E52C9">
        <w:rPr>
          <w:b/>
        </w:rPr>
        <w:t>G</w:t>
      </w:r>
      <w:r w:rsidR="00997612" w:rsidRPr="000E52C9">
        <w:rPr>
          <w:b/>
        </w:rPr>
        <w:t>eneral comment No. 5 (2003) on general measures of implementation, the Committee urges the State party to expeditiously improve its data collection system. The data should cover all areas of the Convention and should be disaggregated</w:t>
      </w:r>
      <w:r w:rsidR="00C91721" w:rsidRPr="000E52C9">
        <w:rPr>
          <w:b/>
        </w:rPr>
        <w:t>, inter alia,</w:t>
      </w:r>
      <w:r w:rsidR="00997612" w:rsidRPr="000E52C9">
        <w:rPr>
          <w:b/>
        </w:rPr>
        <w:t xml:space="preserve"> by age, sex, </w:t>
      </w:r>
      <w:r w:rsidR="0057534D" w:rsidRPr="000E52C9">
        <w:rPr>
          <w:b/>
        </w:rPr>
        <w:t xml:space="preserve">disability, </w:t>
      </w:r>
      <w:r w:rsidR="00997612" w:rsidRPr="000E52C9">
        <w:rPr>
          <w:b/>
        </w:rPr>
        <w:t xml:space="preserve">geographic location, ethnic </w:t>
      </w:r>
      <w:r w:rsidR="00027D8A" w:rsidRPr="000E52C9">
        <w:rPr>
          <w:b/>
        </w:rPr>
        <w:t xml:space="preserve">and national </w:t>
      </w:r>
      <w:r w:rsidR="00997612" w:rsidRPr="000E52C9">
        <w:rPr>
          <w:b/>
        </w:rPr>
        <w:t>origin and socioeconomic background</w:t>
      </w:r>
      <w:r w:rsidR="006D41B8" w:rsidRPr="000E52C9">
        <w:rPr>
          <w:b/>
        </w:rPr>
        <w:t>,</w:t>
      </w:r>
      <w:r w:rsidR="00A15C1C" w:rsidRPr="000E52C9">
        <w:rPr>
          <w:b/>
        </w:rPr>
        <w:t xml:space="preserve"> </w:t>
      </w:r>
      <w:r w:rsidR="00997612" w:rsidRPr="000E52C9">
        <w:rPr>
          <w:b/>
        </w:rPr>
        <w:t xml:space="preserve">in order to facilitate analysis on the situation of all children, particularly those in situations of vulnerability. Furthermore, </w:t>
      </w:r>
      <w:r w:rsidR="00997612" w:rsidRPr="000E52C9">
        <w:rPr>
          <w:b/>
        </w:rPr>
        <w:lastRenderedPageBreak/>
        <w:t>the Committee recommends that the data and indicators be shared among the ministries concerned and used for the formulation, monitoring and evaluation of policies, programmes and projects for the effective implementation of the Convention.</w:t>
      </w:r>
    </w:p>
    <w:p w:rsidR="000F0F0F" w:rsidRPr="00EF4C80" w:rsidRDefault="00960D50" w:rsidP="00960D50">
      <w:pPr>
        <w:pStyle w:val="H23G"/>
      </w:pPr>
      <w:r w:rsidRPr="00EF4C80">
        <w:tab/>
      </w:r>
      <w:r w:rsidRPr="00EF4C80">
        <w:tab/>
      </w:r>
      <w:r w:rsidR="000F0F0F" w:rsidRPr="0077111B">
        <w:t>Independent monitoring</w:t>
      </w:r>
    </w:p>
    <w:p w:rsidR="007F312E" w:rsidRPr="000E52C9" w:rsidRDefault="000E52C9" w:rsidP="000E52C9">
      <w:pPr>
        <w:pStyle w:val="SingleTxtG"/>
      </w:pPr>
      <w:r>
        <w:t>1</w:t>
      </w:r>
      <w:r w:rsidR="00280162">
        <w:t>4</w:t>
      </w:r>
      <w:r>
        <w:t>.</w:t>
      </w:r>
      <w:r>
        <w:tab/>
      </w:r>
      <w:r w:rsidR="0035168A" w:rsidRPr="000E52C9">
        <w:t>T</w:t>
      </w:r>
      <w:r w:rsidR="007F312E" w:rsidRPr="000E52C9">
        <w:t>he</w:t>
      </w:r>
      <w:r w:rsidR="0077141A" w:rsidRPr="000E52C9">
        <w:t xml:space="preserve"> Committee expresses concern at the lack of progress regarding the establishment of an independent national human rights institution for the promotion and monitoring of the implementation of the Convention, in accordance with the Paris Principles</w:t>
      </w:r>
      <w:r w:rsidR="00FA0A63" w:rsidRPr="000E52C9">
        <w:t>, and at the lack of independence of the existing National Institute for Democracy and Human Rights (NIDHR) functioning under the auspices of the Office of the President</w:t>
      </w:r>
      <w:r w:rsidR="0077111B" w:rsidRPr="000E52C9">
        <w:t>.</w:t>
      </w:r>
      <w:r w:rsidR="000F5DA6" w:rsidRPr="000E52C9">
        <w:t xml:space="preserve"> </w:t>
      </w:r>
      <w:r w:rsidR="0077111B" w:rsidRPr="000E52C9">
        <w:t>Furthermore, t</w:t>
      </w:r>
      <w:r w:rsidR="00FA0A63" w:rsidRPr="000E52C9">
        <w:t xml:space="preserve">he Committee is concerned that the </w:t>
      </w:r>
      <w:r w:rsidR="005F377F" w:rsidRPr="000E52C9">
        <w:t xml:space="preserve">possibility of children to </w:t>
      </w:r>
      <w:r w:rsidR="00CA4173" w:rsidRPr="000E52C9">
        <w:t>submit complaints</w:t>
      </w:r>
      <w:r w:rsidR="00FA0A63" w:rsidRPr="000E52C9">
        <w:t xml:space="preserve"> and obtain redress remains very limited</w:t>
      </w:r>
      <w:r w:rsidR="0077111B" w:rsidRPr="000E52C9">
        <w:t xml:space="preserve"> in the State party</w:t>
      </w:r>
      <w:r w:rsidR="00FA0A63" w:rsidRPr="000E52C9">
        <w:t xml:space="preserve">. </w:t>
      </w:r>
    </w:p>
    <w:p w:rsidR="000F0F0F" w:rsidRPr="000E52C9" w:rsidRDefault="000E52C9" w:rsidP="000E52C9">
      <w:pPr>
        <w:pStyle w:val="SingleTxtG"/>
        <w:rPr>
          <w:b/>
        </w:rPr>
      </w:pPr>
      <w:r w:rsidRPr="000E52C9">
        <w:t>1</w:t>
      </w:r>
      <w:r w:rsidR="00280162">
        <w:t>5</w:t>
      </w:r>
      <w:r w:rsidRPr="000E52C9">
        <w:t>.</w:t>
      </w:r>
      <w:r>
        <w:rPr>
          <w:b/>
        </w:rPr>
        <w:tab/>
      </w:r>
      <w:r w:rsidR="00A717B6" w:rsidRPr="000E52C9">
        <w:rPr>
          <w:b/>
        </w:rPr>
        <w:t>In</w:t>
      </w:r>
      <w:r w:rsidR="00A717B6" w:rsidRPr="000E52C9">
        <w:rPr>
          <w:rFonts w:eastAsia="Malgun Gothic"/>
          <w:b/>
        </w:rPr>
        <w:t xml:space="preserve"> the light of its</w:t>
      </w:r>
      <w:r w:rsidR="00A15C1C" w:rsidRPr="000E52C9">
        <w:rPr>
          <w:rFonts w:eastAsia="Malgun Gothic"/>
          <w:b/>
        </w:rPr>
        <w:t xml:space="preserve"> general comment No. 2 (2002) on the role of independent human rights institutions, the Committee recommends that the State party take measures to expeditiously establish an independent mechanism for monitoring human rights, including a specific mechanism for monitoring children’s rights that is able to receive, investigate and address complaints by children in a child-sensitive manner, ensure the privacy and protection of victims, and undertake monitoring, follow-up and verification activities for victims. Furthermore, the Committee recommends that the State party ensure the independence of such a monitoring mechanism, including with regards to its funding, mandate and immunities, so as to ensure full compliance with the Paris Principles. To that effect, the Committee recommends that the State party seek technical cooperation from, among others, the Office of the United Nations High Commissioner for Human Rights (OHCHR), UNICEF and the United Nations Development Programme</w:t>
      </w:r>
      <w:r w:rsidR="00FA0A63" w:rsidRPr="000E52C9">
        <w:rPr>
          <w:rFonts w:eastAsia="Malgun Gothic"/>
          <w:b/>
        </w:rPr>
        <w:t xml:space="preserve"> (UNDP).</w:t>
      </w:r>
    </w:p>
    <w:p w:rsidR="00507744" w:rsidRPr="000E52C9" w:rsidRDefault="002D0408" w:rsidP="000E52C9">
      <w:pPr>
        <w:pStyle w:val="H23G"/>
        <w:rPr>
          <w:rFonts w:eastAsia="Malgun Gothic"/>
        </w:rPr>
      </w:pPr>
      <w:r>
        <w:rPr>
          <w:rFonts w:eastAsia="Malgun Gothic"/>
          <w:lang w:eastAsia="zh-CN"/>
        </w:rPr>
        <w:tab/>
      </w:r>
      <w:r w:rsidRPr="000E52C9">
        <w:rPr>
          <w:rFonts w:eastAsia="Malgun Gothic"/>
        </w:rPr>
        <w:tab/>
      </w:r>
      <w:r w:rsidR="00507744" w:rsidRPr="000E52C9">
        <w:rPr>
          <w:rFonts w:eastAsia="Malgun Gothic"/>
        </w:rPr>
        <w:t>Cooperation with civil society</w:t>
      </w:r>
    </w:p>
    <w:p w:rsidR="00E822A8" w:rsidRPr="000E52C9" w:rsidRDefault="000E52C9" w:rsidP="000E52C9">
      <w:pPr>
        <w:pStyle w:val="SingleTxtG"/>
      </w:pPr>
      <w:r>
        <w:t>1</w:t>
      </w:r>
      <w:r w:rsidR="00280162">
        <w:t>6</w:t>
      </w:r>
      <w:r>
        <w:t>.</w:t>
      </w:r>
      <w:r>
        <w:tab/>
      </w:r>
      <w:r w:rsidR="00771DD2" w:rsidRPr="000E52C9">
        <w:t xml:space="preserve">While </w:t>
      </w:r>
      <w:r w:rsidR="00A20B80" w:rsidRPr="000E52C9">
        <w:t xml:space="preserve">noting </w:t>
      </w:r>
      <w:r w:rsidR="00CF218A" w:rsidRPr="000E52C9">
        <w:t>that proposals to review the Law on Public Associations are being considered</w:t>
      </w:r>
      <w:r w:rsidR="00771DD2" w:rsidRPr="000E52C9">
        <w:t xml:space="preserve">, the Committee </w:t>
      </w:r>
      <w:r w:rsidR="00E822A8" w:rsidRPr="000E52C9">
        <w:t xml:space="preserve">remains concerned at the </w:t>
      </w:r>
      <w:r w:rsidR="005066D2" w:rsidRPr="000E52C9">
        <w:t xml:space="preserve">reports of </w:t>
      </w:r>
      <w:r w:rsidR="00E822A8" w:rsidRPr="000E52C9">
        <w:t xml:space="preserve">restrictions </w:t>
      </w:r>
      <w:r w:rsidR="00CF218A" w:rsidRPr="000E52C9">
        <w:t xml:space="preserve">to the work of civil society organizations, </w:t>
      </w:r>
      <w:r w:rsidR="00C91721" w:rsidRPr="000E52C9">
        <w:t>including those working on children’s rights</w:t>
      </w:r>
      <w:r w:rsidR="005066D2" w:rsidRPr="000E52C9">
        <w:t>.</w:t>
      </w:r>
    </w:p>
    <w:p w:rsidR="00C91721" w:rsidRPr="000E52C9" w:rsidRDefault="000E52C9" w:rsidP="000E52C9">
      <w:pPr>
        <w:pStyle w:val="SingleTxtG"/>
        <w:rPr>
          <w:b/>
        </w:rPr>
      </w:pPr>
      <w:r w:rsidRPr="000E52C9">
        <w:t>1</w:t>
      </w:r>
      <w:r w:rsidR="00280162">
        <w:t>7</w:t>
      </w:r>
      <w:r w:rsidRPr="000E52C9">
        <w:t>.</w:t>
      </w:r>
      <w:r>
        <w:rPr>
          <w:b/>
        </w:rPr>
        <w:tab/>
      </w:r>
      <w:r w:rsidR="00771DD2" w:rsidRPr="000E52C9">
        <w:rPr>
          <w:b/>
        </w:rPr>
        <w:t xml:space="preserve">The Committee </w:t>
      </w:r>
      <w:r w:rsidR="009D4123" w:rsidRPr="000E52C9">
        <w:rPr>
          <w:b/>
        </w:rPr>
        <w:t xml:space="preserve">urges the State </w:t>
      </w:r>
      <w:r w:rsidR="00CF218A" w:rsidRPr="000E52C9">
        <w:rPr>
          <w:b/>
        </w:rPr>
        <w:t>party t</w:t>
      </w:r>
      <w:r w:rsidR="009D4123" w:rsidRPr="000E52C9">
        <w:rPr>
          <w:b/>
        </w:rPr>
        <w:t>o</w:t>
      </w:r>
      <w:r w:rsidR="00887197" w:rsidRPr="000E52C9">
        <w:rPr>
          <w:b/>
        </w:rPr>
        <w:t>:</w:t>
      </w:r>
    </w:p>
    <w:p w:rsidR="00C91721" w:rsidRPr="000E52C9" w:rsidRDefault="004C42CF" w:rsidP="000E52C9">
      <w:pPr>
        <w:pStyle w:val="SingleTxtG"/>
        <w:rPr>
          <w:b/>
        </w:rPr>
      </w:pPr>
      <w:r w:rsidRPr="000E52C9">
        <w:rPr>
          <w:b/>
        </w:rPr>
        <w:tab/>
        <w:t>(a)</w:t>
      </w:r>
      <w:r w:rsidRPr="000E52C9">
        <w:rPr>
          <w:b/>
        </w:rPr>
        <w:tab/>
      </w:r>
      <w:r w:rsidR="00CF218A" w:rsidRPr="000E52C9">
        <w:rPr>
          <w:b/>
        </w:rPr>
        <w:t>remove restrictions to the functioning of independent civil society organizations</w:t>
      </w:r>
      <w:r w:rsidR="00C91721" w:rsidRPr="000E52C9">
        <w:rPr>
          <w:b/>
        </w:rPr>
        <w:t>, including those working on children’s rights;</w:t>
      </w:r>
      <w:r w:rsidR="00D31460" w:rsidRPr="000E52C9">
        <w:rPr>
          <w:b/>
        </w:rPr>
        <w:t xml:space="preserve"> and</w:t>
      </w:r>
    </w:p>
    <w:p w:rsidR="00CF218A" w:rsidRPr="000E52C9" w:rsidRDefault="004C42CF" w:rsidP="000E52C9">
      <w:pPr>
        <w:pStyle w:val="SingleTxtG"/>
        <w:rPr>
          <w:b/>
        </w:rPr>
      </w:pPr>
      <w:r w:rsidRPr="000E52C9">
        <w:rPr>
          <w:b/>
        </w:rPr>
        <w:tab/>
      </w:r>
      <w:r w:rsidR="00C91721" w:rsidRPr="000E52C9">
        <w:rPr>
          <w:b/>
        </w:rPr>
        <w:t>(b)</w:t>
      </w:r>
      <w:r w:rsidRPr="000E52C9">
        <w:rPr>
          <w:b/>
        </w:rPr>
        <w:tab/>
      </w:r>
      <w:r w:rsidR="00CF218A" w:rsidRPr="000E52C9">
        <w:rPr>
          <w:b/>
        </w:rPr>
        <w:t xml:space="preserve">involve </w:t>
      </w:r>
      <w:r w:rsidR="00C91721" w:rsidRPr="000E52C9">
        <w:rPr>
          <w:b/>
        </w:rPr>
        <w:t xml:space="preserve">systematically </w:t>
      </w:r>
      <w:r w:rsidR="00CF218A" w:rsidRPr="000E52C9">
        <w:rPr>
          <w:b/>
        </w:rPr>
        <w:t xml:space="preserve">all NGOs working in the field of children’s rights in the </w:t>
      </w:r>
      <w:r w:rsidR="00A20B80" w:rsidRPr="000E52C9">
        <w:rPr>
          <w:b/>
        </w:rPr>
        <w:t>elaboration</w:t>
      </w:r>
      <w:r w:rsidR="00CF218A" w:rsidRPr="000E52C9">
        <w:rPr>
          <w:b/>
        </w:rPr>
        <w:t xml:space="preserve">, implementation, monitoring and evaluation of laws, policies and programmes related to children. </w:t>
      </w:r>
    </w:p>
    <w:p w:rsidR="000F0F0F" w:rsidRPr="000E52C9" w:rsidRDefault="00C404D3" w:rsidP="000E52C9">
      <w:pPr>
        <w:pStyle w:val="H1G"/>
      </w:pPr>
      <w:r w:rsidRPr="000E52C9">
        <w:tab/>
      </w:r>
      <w:r w:rsidR="00821826" w:rsidRPr="000E52C9">
        <w:t>B</w:t>
      </w:r>
      <w:r w:rsidR="000F0F0F" w:rsidRPr="000E52C9">
        <w:t>.</w:t>
      </w:r>
      <w:r w:rsidRPr="000E52C9">
        <w:tab/>
      </w:r>
      <w:r w:rsidR="000F0F0F" w:rsidRPr="000E52C9">
        <w:t>General principles (arts. 2, 3, 6 and 12)</w:t>
      </w:r>
    </w:p>
    <w:p w:rsidR="000F0F0F" w:rsidRPr="00EF4C80" w:rsidRDefault="00C404D3" w:rsidP="00C404D3">
      <w:pPr>
        <w:pStyle w:val="H23G"/>
      </w:pPr>
      <w:r w:rsidRPr="0077111B">
        <w:tab/>
      </w:r>
      <w:r w:rsidRPr="0077111B">
        <w:tab/>
      </w:r>
      <w:r w:rsidR="000F0F0F" w:rsidRPr="0077111B">
        <w:t>Non-discrimination</w:t>
      </w:r>
    </w:p>
    <w:p w:rsidR="00DB1A48" w:rsidRPr="000E52C9" w:rsidRDefault="000E52C9" w:rsidP="000E52C9">
      <w:pPr>
        <w:pStyle w:val="SingleTxtG"/>
      </w:pPr>
      <w:r>
        <w:t>1</w:t>
      </w:r>
      <w:r w:rsidR="00280162">
        <w:t>8</w:t>
      </w:r>
      <w:r>
        <w:t>.</w:t>
      </w:r>
      <w:r>
        <w:tab/>
      </w:r>
      <w:r w:rsidR="000E0B8F" w:rsidRPr="000E52C9">
        <w:t>The Committee welcomes the amen</w:t>
      </w:r>
      <w:r w:rsidR="00CA4339" w:rsidRPr="000E52C9">
        <w:t xml:space="preserve">dments to the Law </w:t>
      </w:r>
      <w:r w:rsidR="0077111B" w:rsidRPr="000E52C9">
        <w:t>o</w:t>
      </w:r>
      <w:r w:rsidR="00CA4339" w:rsidRPr="000E52C9">
        <w:t>n State Guarantees of the Rights of the Child (3 May 2014),</w:t>
      </w:r>
      <w:r w:rsidR="000E0B8F" w:rsidRPr="000E52C9">
        <w:t xml:space="preserve"> which provides in articles 4-6 for </w:t>
      </w:r>
      <w:r w:rsidR="005A2489" w:rsidRPr="000E52C9">
        <w:t xml:space="preserve">the principle of </w:t>
      </w:r>
      <w:r w:rsidR="000E0B8F" w:rsidRPr="000E52C9">
        <w:t>non-</w:t>
      </w:r>
      <w:r w:rsidR="005A2489" w:rsidRPr="000E52C9">
        <w:t>discrimination</w:t>
      </w:r>
      <w:r w:rsidR="000E0B8F" w:rsidRPr="000E52C9">
        <w:t xml:space="preserve"> in the exercise of </w:t>
      </w:r>
      <w:r w:rsidR="00054DB1" w:rsidRPr="000E52C9">
        <w:t>children’s</w:t>
      </w:r>
      <w:r w:rsidR="000E0B8F" w:rsidRPr="000E52C9">
        <w:t xml:space="preserve"> rights and freedoms. </w:t>
      </w:r>
      <w:r w:rsidR="00AD2272" w:rsidRPr="000E52C9">
        <w:t xml:space="preserve">The Committee further welcomes the information provided by the State party that the requirement to submit a document certifying Turkmen origin to access university education was removed. </w:t>
      </w:r>
      <w:r w:rsidR="005A2489" w:rsidRPr="000E52C9">
        <w:t>However, the Committee remains concerned at</w:t>
      </w:r>
      <w:r w:rsidR="00DB1A48" w:rsidRPr="000E52C9">
        <w:t>:</w:t>
      </w:r>
      <w:r w:rsidR="005A2489" w:rsidRPr="000E52C9">
        <w:t xml:space="preserve"> </w:t>
      </w:r>
    </w:p>
    <w:p w:rsidR="00DB1A48" w:rsidRPr="000E52C9" w:rsidRDefault="004C42CF" w:rsidP="000E52C9">
      <w:pPr>
        <w:pStyle w:val="SingleTxtG"/>
      </w:pPr>
      <w:r w:rsidRPr="000E52C9">
        <w:tab/>
      </w:r>
      <w:r w:rsidR="00DB1A48" w:rsidRPr="000E52C9">
        <w:t>(a)</w:t>
      </w:r>
      <w:r w:rsidRPr="000E52C9">
        <w:tab/>
      </w:r>
      <w:r w:rsidR="005A2489" w:rsidRPr="000E52C9">
        <w:t xml:space="preserve">the discriminatory practices towards children belonging to national minorities, particularly the Kazakhs and the Uzbeks, </w:t>
      </w:r>
      <w:r w:rsidR="00887197" w:rsidRPr="000E52C9">
        <w:t>who have</w:t>
      </w:r>
      <w:r w:rsidR="00AD2272" w:rsidRPr="000E52C9">
        <w:t xml:space="preserve"> very limited</w:t>
      </w:r>
      <w:r w:rsidR="005A2489" w:rsidRPr="000E52C9">
        <w:t xml:space="preserve"> opportunities to </w:t>
      </w:r>
      <w:r w:rsidR="00F24EBF">
        <w:t xml:space="preserve">have access to language classes </w:t>
      </w:r>
      <w:r w:rsidR="005A2489" w:rsidRPr="000E52C9">
        <w:t>in their mother-tongue</w:t>
      </w:r>
      <w:r w:rsidR="00B91FD2" w:rsidRPr="000E52C9">
        <w:t>;</w:t>
      </w:r>
      <w:r w:rsidR="00631070" w:rsidRPr="000E52C9">
        <w:t xml:space="preserve"> </w:t>
      </w:r>
    </w:p>
    <w:p w:rsidR="00DB1A48" w:rsidRPr="000E52C9" w:rsidRDefault="004C42CF" w:rsidP="000E52C9">
      <w:pPr>
        <w:pStyle w:val="SingleTxtG"/>
      </w:pPr>
      <w:r w:rsidRPr="000E52C9">
        <w:lastRenderedPageBreak/>
        <w:tab/>
        <w:t>(b)</w:t>
      </w:r>
      <w:r w:rsidRPr="000E52C9">
        <w:tab/>
      </w:r>
      <w:r w:rsidR="00054DB1" w:rsidRPr="000E52C9">
        <w:t>girls continu</w:t>
      </w:r>
      <w:r w:rsidR="00DB1A48" w:rsidRPr="000E52C9">
        <w:t>ing</w:t>
      </w:r>
      <w:r w:rsidR="00054DB1" w:rsidRPr="000E52C9">
        <w:t xml:space="preserve"> to </w:t>
      </w:r>
      <w:r w:rsidR="00F24EBF">
        <w:t>be discriminated against</w:t>
      </w:r>
      <w:r w:rsidR="00B91FD2" w:rsidRPr="000E52C9">
        <w:t>,</w:t>
      </w:r>
      <w:r w:rsidR="00CA4339" w:rsidRPr="000E52C9">
        <w:t xml:space="preserve"> </w:t>
      </w:r>
      <w:r w:rsidR="00054DB1" w:rsidRPr="000E52C9">
        <w:t>due to cultural biases</w:t>
      </w:r>
      <w:r w:rsidR="006D7DF5" w:rsidRPr="000E52C9">
        <w:t xml:space="preserve">, patriarchal attitudes and deep-rooted </w:t>
      </w:r>
      <w:r w:rsidR="00054DB1" w:rsidRPr="000E52C9">
        <w:t>stereotypes</w:t>
      </w:r>
      <w:r w:rsidR="006D7DF5" w:rsidRPr="000E52C9">
        <w:t>, as was already noticed by CEDAW (CEDAW/C/TKM/CO/3-4, paras. 20-21)</w:t>
      </w:r>
      <w:r w:rsidR="00F24EBF">
        <w:t>, in spite of gender discrimination being forbidden in law</w:t>
      </w:r>
      <w:r w:rsidR="00DB1A48" w:rsidRPr="000E52C9">
        <w:t>; and</w:t>
      </w:r>
      <w:r w:rsidR="006D7DF5" w:rsidRPr="000E52C9">
        <w:t xml:space="preserve"> </w:t>
      </w:r>
    </w:p>
    <w:p w:rsidR="006D7DF5" w:rsidRPr="000E52C9" w:rsidRDefault="004C42CF" w:rsidP="000E52C9">
      <w:pPr>
        <w:pStyle w:val="SingleTxtG"/>
      </w:pPr>
      <w:r w:rsidRPr="000E52C9">
        <w:tab/>
        <w:t>(c)</w:t>
      </w:r>
      <w:r w:rsidRPr="000E52C9">
        <w:tab/>
      </w:r>
      <w:r w:rsidR="006D7DF5" w:rsidRPr="000E52C9">
        <w:t xml:space="preserve">the State party’s limited efforts to tackle the discrimination of girls and to modify or eliminate stereotypes and negative traditional values and practices. </w:t>
      </w:r>
    </w:p>
    <w:p w:rsidR="00E1383C" w:rsidRPr="000E52C9" w:rsidRDefault="00280162" w:rsidP="000E52C9">
      <w:pPr>
        <w:pStyle w:val="SingleTxtG"/>
        <w:rPr>
          <w:b/>
        </w:rPr>
      </w:pPr>
      <w:r>
        <w:t>19</w:t>
      </w:r>
      <w:r w:rsidR="000E52C9" w:rsidRPr="000E52C9">
        <w:t>.</w:t>
      </w:r>
      <w:r w:rsidR="000E52C9">
        <w:rPr>
          <w:b/>
        </w:rPr>
        <w:tab/>
      </w:r>
      <w:r w:rsidR="00F40695" w:rsidRPr="000E52C9">
        <w:rPr>
          <w:b/>
        </w:rPr>
        <w:t>The</w:t>
      </w:r>
      <w:r w:rsidR="000F0F0F" w:rsidRPr="000E52C9">
        <w:rPr>
          <w:b/>
        </w:rPr>
        <w:t xml:space="preserve"> Committee re</w:t>
      </w:r>
      <w:r w:rsidR="001C0676" w:rsidRPr="000E52C9">
        <w:rPr>
          <w:b/>
        </w:rPr>
        <w:t>commends that the State party</w:t>
      </w:r>
      <w:r w:rsidR="00887197" w:rsidRPr="000E52C9">
        <w:rPr>
          <w:b/>
        </w:rPr>
        <w:t>:</w:t>
      </w:r>
    </w:p>
    <w:p w:rsidR="00E1383C" w:rsidRPr="000E52C9" w:rsidRDefault="004C42CF" w:rsidP="000E52C9">
      <w:pPr>
        <w:pStyle w:val="SingleTxtG"/>
        <w:rPr>
          <w:b/>
        </w:rPr>
      </w:pPr>
      <w:r w:rsidRPr="000E52C9">
        <w:rPr>
          <w:b/>
        </w:rPr>
        <w:tab/>
        <w:t>(a)</w:t>
      </w:r>
      <w:r w:rsidRPr="000E52C9">
        <w:rPr>
          <w:b/>
        </w:rPr>
        <w:tab/>
      </w:r>
      <w:r w:rsidR="00054DB1" w:rsidRPr="000E52C9">
        <w:rPr>
          <w:b/>
        </w:rPr>
        <w:t xml:space="preserve">adopt legislative and administrative measures to prevent and eliminate disparities </w:t>
      </w:r>
      <w:r w:rsidR="00004563" w:rsidRPr="000E52C9">
        <w:rPr>
          <w:b/>
        </w:rPr>
        <w:t>in the enjoyment by children of their rights</w:t>
      </w:r>
      <w:r w:rsidR="00901054" w:rsidRPr="000E52C9">
        <w:rPr>
          <w:b/>
        </w:rPr>
        <w:t>, as well as</w:t>
      </w:r>
      <w:r w:rsidR="00004563" w:rsidRPr="000E52C9">
        <w:rPr>
          <w:b/>
        </w:rPr>
        <w:t xml:space="preserve"> </w:t>
      </w:r>
      <w:r w:rsidR="00054DB1" w:rsidRPr="000E52C9">
        <w:rPr>
          <w:b/>
        </w:rPr>
        <w:t>discriminatory attitudes against certain groups of children, in particular girls and children belonging to national minorities</w:t>
      </w:r>
      <w:r w:rsidR="00E1383C" w:rsidRPr="000E52C9">
        <w:rPr>
          <w:b/>
        </w:rPr>
        <w:t>;</w:t>
      </w:r>
    </w:p>
    <w:p w:rsidR="00E1383C" w:rsidRPr="000E52C9" w:rsidRDefault="004C42CF" w:rsidP="000E52C9">
      <w:pPr>
        <w:pStyle w:val="SingleTxtG"/>
        <w:rPr>
          <w:b/>
        </w:rPr>
      </w:pPr>
      <w:r w:rsidRPr="000E52C9">
        <w:rPr>
          <w:b/>
        </w:rPr>
        <w:tab/>
        <w:t>(b)</w:t>
      </w:r>
      <w:r w:rsidRPr="000E52C9">
        <w:rPr>
          <w:b/>
        </w:rPr>
        <w:tab/>
      </w:r>
      <w:r w:rsidR="0035168A" w:rsidRPr="000E52C9">
        <w:rPr>
          <w:b/>
        </w:rPr>
        <w:t xml:space="preserve">guarantee the right to education in mother-tongue for children pertaining to national minorities and </w:t>
      </w:r>
      <w:r w:rsidR="00E1383C" w:rsidRPr="000E52C9">
        <w:rPr>
          <w:b/>
        </w:rPr>
        <w:t xml:space="preserve">abolish restrictions </w:t>
      </w:r>
      <w:r w:rsidR="0035168A" w:rsidRPr="000E52C9">
        <w:rPr>
          <w:b/>
        </w:rPr>
        <w:t>in that regard</w:t>
      </w:r>
      <w:r w:rsidR="00FE2DE6" w:rsidRPr="000E52C9">
        <w:rPr>
          <w:b/>
        </w:rPr>
        <w:t>;</w:t>
      </w:r>
      <w:r w:rsidR="00DA2844" w:rsidRPr="000E52C9">
        <w:rPr>
          <w:b/>
        </w:rPr>
        <w:t xml:space="preserve"> and</w:t>
      </w:r>
    </w:p>
    <w:p w:rsidR="00E1383C" w:rsidRPr="000E52C9" w:rsidRDefault="004C42CF" w:rsidP="000E52C9">
      <w:pPr>
        <w:pStyle w:val="SingleTxtG"/>
        <w:rPr>
          <w:b/>
        </w:rPr>
      </w:pPr>
      <w:r w:rsidRPr="000E52C9">
        <w:rPr>
          <w:b/>
        </w:rPr>
        <w:tab/>
      </w:r>
      <w:r w:rsidR="00E1383C" w:rsidRPr="000E52C9">
        <w:rPr>
          <w:b/>
        </w:rPr>
        <w:t>(c)</w:t>
      </w:r>
      <w:r w:rsidRPr="000E52C9">
        <w:rPr>
          <w:b/>
        </w:rPr>
        <w:tab/>
      </w:r>
      <w:r w:rsidR="00004563" w:rsidRPr="000E52C9">
        <w:rPr>
          <w:b/>
        </w:rPr>
        <w:t xml:space="preserve">undertake comprehensive public education </w:t>
      </w:r>
      <w:r w:rsidR="00574E75" w:rsidRPr="000E52C9">
        <w:rPr>
          <w:b/>
        </w:rPr>
        <w:t xml:space="preserve">and awareness-raising </w:t>
      </w:r>
      <w:r w:rsidR="00004563" w:rsidRPr="000E52C9">
        <w:rPr>
          <w:b/>
        </w:rPr>
        <w:t>campaigns</w:t>
      </w:r>
      <w:r w:rsidR="00574E75" w:rsidRPr="000E52C9">
        <w:rPr>
          <w:b/>
        </w:rPr>
        <w:t xml:space="preserve">, in particular in rural areas, </w:t>
      </w:r>
      <w:r w:rsidR="00004563" w:rsidRPr="000E52C9">
        <w:rPr>
          <w:b/>
        </w:rPr>
        <w:t>to prevent and combat negative soci</w:t>
      </w:r>
      <w:r w:rsidR="0094497F" w:rsidRPr="000E52C9">
        <w:rPr>
          <w:b/>
        </w:rPr>
        <w:t>eta</w:t>
      </w:r>
      <w:r w:rsidR="00004563" w:rsidRPr="000E52C9">
        <w:rPr>
          <w:b/>
        </w:rPr>
        <w:t>l attitudes, including discrimination, based on, inter alia, sex, gender, nationality, ethnicity and religion.</w:t>
      </w:r>
      <w:r w:rsidR="006D7DF5" w:rsidRPr="000E52C9">
        <w:rPr>
          <w:b/>
        </w:rPr>
        <w:t xml:space="preserve"> </w:t>
      </w:r>
    </w:p>
    <w:p w:rsidR="000F0F0F" w:rsidRPr="00EF4C80" w:rsidRDefault="00A82959" w:rsidP="00FC0AA5">
      <w:pPr>
        <w:pStyle w:val="H23G"/>
      </w:pPr>
      <w:r w:rsidRPr="00EF4C80">
        <w:tab/>
      </w:r>
      <w:r w:rsidRPr="00EF4C80">
        <w:tab/>
      </w:r>
      <w:r w:rsidR="000F0F0F" w:rsidRPr="000F687A">
        <w:t>Best interests of the child</w:t>
      </w:r>
    </w:p>
    <w:p w:rsidR="006C263A" w:rsidRPr="000E52C9" w:rsidRDefault="000E52C9" w:rsidP="000E52C9">
      <w:pPr>
        <w:pStyle w:val="SingleTxtG"/>
      </w:pPr>
      <w:r>
        <w:t>2</w:t>
      </w:r>
      <w:r w:rsidR="00280162">
        <w:t>0</w:t>
      </w:r>
      <w:r>
        <w:t>.</w:t>
      </w:r>
      <w:r>
        <w:tab/>
      </w:r>
      <w:r w:rsidR="000C10F6" w:rsidRPr="000E52C9">
        <w:t>The Co</w:t>
      </w:r>
      <w:r w:rsidR="00631070" w:rsidRPr="000E52C9">
        <w:t xml:space="preserve">mmittee </w:t>
      </w:r>
      <w:r w:rsidR="000C10F6" w:rsidRPr="000E52C9">
        <w:t xml:space="preserve">welcomes </w:t>
      </w:r>
      <w:r w:rsidR="00631070" w:rsidRPr="000E52C9">
        <w:t xml:space="preserve">the information on the </w:t>
      </w:r>
      <w:r w:rsidR="000C10F6" w:rsidRPr="000E52C9">
        <w:t xml:space="preserve">recent </w:t>
      </w:r>
      <w:r w:rsidR="00631070" w:rsidRPr="000E52C9">
        <w:t>incorporation of the right of the child to have his or her best interests taken into account as a primary consideration in national legislation</w:t>
      </w:r>
      <w:r w:rsidR="000C10F6" w:rsidRPr="000E52C9">
        <w:t xml:space="preserve">, such as the article 81 of the Family Code and article 6 of the Law </w:t>
      </w:r>
      <w:r w:rsidR="005506AF" w:rsidRPr="000E52C9">
        <w:t>o</w:t>
      </w:r>
      <w:r w:rsidR="000C10F6" w:rsidRPr="000E52C9">
        <w:t xml:space="preserve">n State Guarantees of the Rights of the Child. However, the Committee remains concerned that the </w:t>
      </w:r>
      <w:r w:rsidR="00CE226C" w:rsidRPr="000E52C9">
        <w:t xml:space="preserve">concept of the </w:t>
      </w:r>
      <w:r w:rsidR="000C10F6" w:rsidRPr="000E52C9">
        <w:t xml:space="preserve">best interests of the child </w:t>
      </w:r>
      <w:r w:rsidR="00CE226C" w:rsidRPr="000E52C9">
        <w:t>is</w:t>
      </w:r>
      <w:r w:rsidR="000C10F6" w:rsidRPr="000E52C9">
        <w:t xml:space="preserve"> not </w:t>
      </w:r>
      <w:r w:rsidR="006C263A" w:rsidRPr="000E52C9">
        <w:t>always fully understood and implemented in judicial and administrative decisions</w:t>
      </w:r>
      <w:r w:rsidR="00F24EBF">
        <w:t>,</w:t>
      </w:r>
      <w:r w:rsidR="006C263A" w:rsidRPr="000E52C9">
        <w:t xml:space="preserve"> projects, programmes and services which have an impact on children</w:t>
      </w:r>
      <w:r w:rsidR="00B3215D" w:rsidRPr="000E52C9">
        <w:t>,</w:t>
      </w:r>
      <w:r w:rsidR="005506AF" w:rsidRPr="000E52C9">
        <w:t xml:space="preserve"> as well as during the determination of statelessness status</w:t>
      </w:r>
      <w:r w:rsidR="000C10F6" w:rsidRPr="000E52C9">
        <w:t xml:space="preserve">. </w:t>
      </w:r>
    </w:p>
    <w:p w:rsidR="00507498" w:rsidRDefault="000E52C9" w:rsidP="000E52C9">
      <w:pPr>
        <w:pStyle w:val="SingleTxtG"/>
        <w:rPr>
          <w:b/>
        </w:rPr>
      </w:pPr>
      <w:r w:rsidRPr="000E52C9">
        <w:t>2</w:t>
      </w:r>
      <w:r w:rsidR="00280162">
        <w:t>1</w:t>
      </w:r>
      <w:r w:rsidRPr="000E52C9">
        <w:t>.</w:t>
      </w:r>
      <w:r>
        <w:rPr>
          <w:b/>
        </w:rPr>
        <w:tab/>
      </w:r>
      <w:r w:rsidR="00A717B6" w:rsidRPr="000E52C9">
        <w:rPr>
          <w:b/>
        </w:rPr>
        <w:t xml:space="preserve">In the light of its </w:t>
      </w:r>
      <w:r w:rsidR="0035168A" w:rsidRPr="000E52C9">
        <w:rPr>
          <w:b/>
        </w:rPr>
        <w:t>G</w:t>
      </w:r>
      <w:r w:rsidR="00507498" w:rsidRPr="000E52C9">
        <w:rPr>
          <w:b/>
        </w:rPr>
        <w:t>eneral comment No</w:t>
      </w:r>
      <w:r w:rsidR="006D41B8" w:rsidRPr="000E52C9">
        <w:rPr>
          <w:b/>
        </w:rPr>
        <w:t>.</w:t>
      </w:r>
      <w:r w:rsidR="00507498" w:rsidRPr="000E52C9">
        <w:rPr>
          <w:b/>
        </w:rPr>
        <w:t xml:space="preserve"> 14 (2013) on the right of the child to have his or her best interests taken as a primary consideration</w:t>
      </w:r>
      <w:r w:rsidR="00A717B6" w:rsidRPr="000E52C9">
        <w:rPr>
          <w:b/>
        </w:rPr>
        <w:t>, the Committee</w:t>
      </w:r>
      <w:r w:rsidR="00507498" w:rsidRPr="000E52C9">
        <w:rPr>
          <w:b/>
        </w:rPr>
        <w:t xml:space="preserve"> recommends that the State party strengthen its efforts to ensure that this right is appropriately integrated and consistently applied in all legislative, administrative and judicial proceedings </w:t>
      </w:r>
      <w:r w:rsidR="0008501A">
        <w:rPr>
          <w:b/>
        </w:rPr>
        <w:t xml:space="preserve">and decisions, </w:t>
      </w:r>
      <w:r w:rsidR="00507498" w:rsidRPr="000E52C9">
        <w:rPr>
          <w:b/>
        </w:rPr>
        <w:t xml:space="preserve">as well as in all policies, programmes and projects </w:t>
      </w:r>
      <w:r w:rsidR="00C96FFB" w:rsidRPr="000E52C9">
        <w:rPr>
          <w:b/>
        </w:rPr>
        <w:t xml:space="preserve">that are </w:t>
      </w:r>
      <w:r w:rsidR="00507498" w:rsidRPr="000E52C9">
        <w:rPr>
          <w:b/>
        </w:rPr>
        <w:t xml:space="preserve">relevant to and </w:t>
      </w:r>
      <w:r w:rsidR="00C96FFB" w:rsidRPr="000E52C9">
        <w:rPr>
          <w:b/>
        </w:rPr>
        <w:t>have</w:t>
      </w:r>
      <w:r w:rsidR="00507498" w:rsidRPr="000E52C9">
        <w:rPr>
          <w:b/>
        </w:rPr>
        <w:t xml:space="preserve"> an impact on children. </w:t>
      </w:r>
      <w:r w:rsidR="00DA445A" w:rsidRPr="000E52C9">
        <w:rPr>
          <w:b/>
        </w:rPr>
        <w:t>In this regard, the State party is encouraged to develop procedures and criteria to provide guidance to all relevant persons in authority for determining the best interests of the child in every area</w:t>
      </w:r>
      <w:r w:rsidR="00B3215D" w:rsidRPr="000E52C9">
        <w:rPr>
          <w:b/>
        </w:rPr>
        <w:t>, including</w:t>
      </w:r>
      <w:r w:rsidR="000C10F6" w:rsidRPr="000E52C9">
        <w:rPr>
          <w:b/>
        </w:rPr>
        <w:t xml:space="preserve"> during the determination of statelessness status, </w:t>
      </w:r>
      <w:r w:rsidR="00DA445A" w:rsidRPr="000E52C9">
        <w:rPr>
          <w:b/>
        </w:rPr>
        <w:t xml:space="preserve">and for giving it due weight as a primary consideration. </w:t>
      </w:r>
    </w:p>
    <w:p w:rsidR="00280162" w:rsidRPr="00280162" w:rsidRDefault="00280162" w:rsidP="009D2B81">
      <w:pPr>
        <w:pStyle w:val="H23G"/>
        <w:ind w:firstLine="0"/>
      </w:pPr>
      <w:r w:rsidRPr="00280162">
        <w:t xml:space="preserve">Right to life, survival and development </w:t>
      </w:r>
    </w:p>
    <w:p w:rsidR="00280162" w:rsidRPr="001B77AD" w:rsidRDefault="00280162" w:rsidP="00280162">
      <w:pPr>
        <w:pStyle w:val="SingleTxtG"/>
      </w:pPr>
      <w:r w:rsidRPr="001B77AD">
        <w:t>22.</w:t>
      </w:r>
      <w:r w:rsidRPr="001B77AD">
        <w:tab/>
        <w:t>While taking note that the rates of suicides among adolescents have decreased, the Committee remains concerned at the persistence of this phenomenon in the State party.</w:t>
      </w:r>
    </w:p>
    <w:p w:rsidR="00280162" w:rsidRPr="000E52C9" w:rsidRDefault="00280162" w:rsidP="00280162">
      <w:pPr>
        <w:pStyle w:val="SingleTxtG"/>
        <w:rPr>
          <w:b/>
        </w:rPr>
      </w:pPr>
      <w:r>
        <w:rPr>
          <w:b/>
        </w:rPr>
        <w:t>23</w:t>
      </w:r>
      <w:r w:rsidRPr="00280162">
        <w:rPr>
          <w:b/>
        </w:rPr>
        <w:t>.</w:t>
      </w:r>
      <w:r w:rsidRPr="00280162">
        <w:rPr>
          <w:b/>
        </w:rPr>
        <w:tab/>
        <w:t>The Committee recommends that the State party strengthen efforts aimed at suicide prevention among children and youth, including by increasing available psychological consultation services and special psychosocial support programmes, as well as by addressing the root causes of this phenomenon. Moreover, the State party should collect disaggregated data on suicide occurrence.</w:t>
      </w:r>
    </w:p>
    <w:p w:rsidR="00404B0A" w:rsidRPr="004B145D" w:rsidRDefault="00404B0A" w:rsidP="004C42CF">
      <w:pPr>
        <w:pStyle w:val="H1G"/>
        <w:rPr>
          <w:rFonts w:eastAsia="Malgun Gothic"/>
        </w:rPr>
      </w:pPr>
      <w:r w:rsidRPr="004B145D">
        <w:rPr>
          <w:rFonts w:eastAsia="Malgun Gothic"/>
          <w:lang w:eastAsia="zh-CN"/>
        </w:rPr>
        <w:lastRenderedPageBreak/>
        <w:tab/>
      </w:r>
      <w:r w:rsidR="004B145D" w:rsidRPr="004B145D">
        <w:rPr>
          <w:rFonts w:eastAsia="Malgun Gothic"/>
        </w:rPr>
        <w:t>C</w:t>
      </w:r>
      <w:r w:rsidR="004C42CF" w:rsidRPr="004B145D">
        <w:rPr>
          <w:rFonts w:eastAsia="Malgun Gothic"/>
        </w:rPr>
        <w:t>.</w:t>
      </w:r>
      <w:r w:rsidR="004C42CF" w:rsidRPr="004B145D">
        <w:rPr>
          <w:rFonts w:eastAsia="Malgun Gothic"/>
        </w:rPr>
        <w:tab/>
      </w:r>
      <w:r w:rsidRPr="004B145D">
        <w:rPr>
          <w:rFonts w:eastAsia="Malgun Gothic"/>
        </w:rPr>
        <w:t>Civil rights and freedoms (arts. 7, 8, and 13-17)</w:t>
      </w:r>
    </w:p>
    <w:p w:rsidR="00995443" w:rsidRDefault="00D1296F" w:rsidP="004C42CF">
      <w:pPr>
        <w:pStyle w:val="H23G"/>
      </w:pPr>
      <w:r>
        <w:tab/>
      </w:r>
      <w:r>
        <w:tab/>
      </w:r>
      <w:r w:rsidR="00022DFC" w:rsidRPr="00B91FD2">
        <w:t>Right to nationality</w:t>
      </w:r>
    </w:p>
    <w:p w:rsidR="006943CD" w:rsidRPr="000E52C9" w:rsidRDefault="000E52C9" w:rsidP="000E52C9">
      <w:pPr>
        <w:pStyle w:val="SingleTxtG"/>
      </w:pPr>
      <w:r>
        <w:t>2</w:t>
      </w:r>
      <w:r w:rsidR="00280162">
        <w:t>4</w:t>
      </w:r>
      <w:r>
        <w:t>.</w:t>
      </w:r>
      <w:r>
        <w:tab/>
      </w:r>
      <w:r w:rsidR="006943CD" w:rsidRPr="000E52C9">
        <w:t>While noting the adoption of the Law on Citizenship in 2013, the Committee is concerned that certain gaps still remain that may lead to statelessness of children</w:t>
      </w:r>
      <w:r w:rsidR="00323B22" w:rsidRPr="000E52C9">
        <w:t xml:space="preserve"> born in the State party</w:t>
      </w:r>
      <w:r w:rsidR="00F24EBF">
        <w:t>.</w:t>
      </w:r>
    </w:p>
    <w:p w:rsidR="006943CD" w:rsidRPr="000E52C9" w:rsidRDefault="000E52C9" w:rsidP="000E52C9">
      <w:pPr>
        <w:pStyle w:val="SingleTxtG"/>
        <w:rPr>
          <w:b/>
        </w:rPr>
      </w:pPr>
      <w:r w:rsidRPr="000E52C9">
        <w:t>2</w:t>
      </w:r>
      <w:r w:rsidR="00280162">
        <w:t>5</w:t>
      </w:r>
      <w:r w:rsidRPr="000E52C9">
        <w:t>.</w:t>
      </w:r>
      <w:r>
        <w:rPr>
          <w:b/>
        </w:rPr>
        <w:tab/>
      </w:r>
      <w:r w:rsidR="006943CD" w:rsidRPr="000E52C9">
        <w:rPr>
          <w:b/>
        </w:rPr>
        <w:t xml:space="preserve">The Committee recommends that the State party review its citizenship legislation and procedures to ensure full compliance with international standards aimed at the prevention and reduction of statelessness and ensure that all children born in </w:t>
      </w:r>
      <w:r w:rsidR="00B91FD2" w:rsidRPr="000E52C9">
        <w:rPr>
          <w:b/>
        </w:rPr>
        <w:t xml:space="preserve">its </w:t>
      </w:r>
      <w:r w:rsidR="006943CD" w:rsidRPr="000E52C9">
        <w:rPr>
          <w:b/>
        </w:rPr>
        <w:t xml:space="preserve">territory acquire Turkmen nationality irrespective of the </w:t>
      </w:r>
      <w:r w:rsidR="00323B22" w:rsidRPr="000E52C9">
        <w:rPr>
          <w:b/>
        </w:rPr>
        <w:t xml:space="preserve">legal </w:t>
      </w:r>
      <w:r w:rsidR="006943CD" w:rsidRPr="000E52C9">
        <w:rPr>
          <w:b/>
        </w:rPr>
        <w:t>status of their parents, if otherwise they will be stateless.</w:t>
      </w:r>
    </w:p>
    <w:p w:rsidR="008557BB" w:rsidRPr="004F405C" w:rsidRDefault="00D1296F" w:rsidP="009F29F8">
      <w:pPr>
        <w:pStyle w:val="H23G"/>
      </w:pPr>
      <w:r>
        <w:tab/>
      </w:r>
      <w:r>
        <w:tab/>
      </w:r>
      <w:r w:rsidR="008557BB" w:rsidRPr="000F687A">
        <w:t>Freedom of Expression</w:t>
      </w:r>
    </w:p>
    <w:p w:rsidR="00D1296F" w:rsidRPr="000E52C9" w:rsidRDefault="000E52C9" w:rsidP="000E52C9">
      <w:pPr>
        <w:pStyle w:val="SingleTxtG"/>
      </w:pPr>
      <w:r>
        <w:t>2</w:t>
      </w:r>
      <w:r w:rsidR="00280162">
        <w:t>6</w:t>
      </w:r>
      <w:r>
        <w:t>.</w:t>
      </w:r>
      <w:r>
        <w:tab/>
      </w:r>
      <w:r w:rsidR="00524BC3" w:rsidRPr="000E52C9">
        <w:t>While taking note that the State party’s Constitution and the Law of Mass Media guarantee</w:t>
      </w:r>
      <w:r w:rsidR="00E21781" w:rsidRPr="000E52C9">
        <w:t xml:space="preserve"> the</w:t>
      </w:r>
      <w:r w:rsidR="00524BC3" w:rsidRPr="000E52C9">
        <w:t xml:space="preserve"> freedom of expression</w:t>
      </w:r>
      <w:r w:rsidR="00E21781" w:rsidRPr="000E52C9">
        <w:t xml:space="preserve"> for all</w:t>
      </w:r>
      <w:r w:rsidR="00524BC3" w:rsidRPr="000E52C9">
        <w:t xml:space="preserve">, </w:t>
      </w:r>
      <w:r w:rsidR="00146517" w:rsidRPr="000E52C9">
        <w:t xml:space="preserve">the Committee expresses concern at reports that the State party systematically limits the right of the child to freedom of expression </w:t>
      </w:r>
      <w:r w:rsidR="00D1296F" w:rsidRPr="000E52C9">
        <w:t>and that prevailing traditional societal attitudes, in the family and in other settings regarding the role of children, make it difficult for children to seek and impart information freely and to express their views on public matters openly.</w:t>
      </w:r>
    </w:p>
    <w:p w:rsidR="00D1296F" w:rsidRPr="000E52C9" w:rsidRDefault="000E52C9" w:rsidP="000E52C9">
      <w:pPr>
        <w:pStyle w:val="SingleTxtG"/>
        <w:rPr>
          <w:b/>
        </w:rPr>
      </w:pPr>
      <w:r w:rsidRPr="000E52C9">
        <w:t>2</w:t>
      </w:r>
      <w:r w:rsidR="00280162">
        <w:t>7</w:t>
      </w:r>
      <w:r w:rsidRPr="000E52C9">
        <w:t>.</w:t>
      </w:r>
      <w:r>
        <w:rPr>
          <w:b/>
        </w:rPr>
        <w:tab/>
      </w:r>
      <w:r w:rsidR="00D1296F" w:rsidRPr="000E52C9">
        <w:rPr>
          <w:b/>
        </w:rPr>
        <w:t xml:space="preserve">The Committee recommends that the State party take all appropriate measures to promote and guarantee the right of the child to freedom of expression within the family, in the school and other institutions. </w:t>
      </w:r>
    </w:p>
    <w:p w:rsidR="00A05873" w:rsidRPr="00A05873" w:rsidRDefault="004C42CF" w:rsidP="004C42CF">
      <w:pPr>
        <w:pStyle w:val="H23G"/>
      </w:pPr>
      <w:r>
        <w:tab/>
      </w:r>
      <w:r>
        <w:tab/>
      </w:r>
      <w:r w:rsidR="00A05873" w:rsidRPr="00A05873">
        <w:t>Access to appropriate information</w:t>
      </w:r>
    </w:p>
    <w:p w:rsidR="00A05873" w:rsidRPr="000E52C9" w:rsidRDefault="000E52C9" w:rsidP="000E52C9">
      <w:pPr>
        <w:pStyle w:val="SingleTxtG"/>
      </w:pPr>
      <w:r>
        <w:t>2</w:t>
      </w:r>
      <w:r w:rsidR="00280162">
        <w:t>8</w:t>
      </w:r>
      <w:r>
        <w:t>.</w:t>
      </w:r>
      <w:r>
        <w:tab/>
      </w:r>
      <w:r w:rsidR="00D1296F" w:rsidRPr="000E52C9">
        <w:t xml:space="preserve">While welcoming the entry into force on 4 January 2013 of the Law on Mass Media which prohibits censorship and guarantees the right to access </w:t>
      </w:r>
      <w:r w:rsidR="00A05873" w:rsidRPr="000E52C9">
        <w:t>information</w:t>
      </w:r>
      <w:r w:rsidR="00D1296F" w:rsidRPr="000E52C9">
        <w:t xml:space="preserve"> and international mass media</w:t>
      </w:r>
      <w:r w:rsidR="0016405B" w:rsidRPr="000E52C9">
        <w:t xml:space="preserve"> and the sharp increase in the numbers of internet users</w:t>
      </w:r>
      <w:r w:rsidR="00D1296F" w:rsidRPr="000E52C9">
        <w:t xml:space="preserve">, the Committee remains concerned at </w:t>
      </w:r>
      <w:r w:rsidR="00A05873" w:rsidRPr="000E52C9">
        <w:t xml:space="preserve">the possible effects </w:t>
      </w:r>
      <w:r w:rsidR="00C4668A" w:rsidRPr="000E52C9">
        <w:t xml:space="preserve">of the reported strict monitoring by the State of the use of the Internet </w:t>
      </w:r>
      <w:r w:rsidR="00A05873" w:rsidRPr="000E52C9">
        <w:t xml:space="preserve">on children’s right to access the appropriate information, the limited availability of international media and the lack of independence of the </w:t>
      </w:r>
      <w:r w:rsidR="00524BC3" w:rsidRPr="000E52C9">
        <w:t>national media</w:t>
      </w:r>
      <w:r w:rsidR="00A05873" w:rsidRPr="000E52C9">
        <w:t>.</w:t>
      </w:r>
    </w:p>
    <w:p w:rsidR="00E21781" w:rsidRPr="000E52C9" w:rsidRDefault="000E52C9" w:rsidP="000E52C9">
      <w:pPr>
        <w:pStyle w:val="SingleTxtG"/>
        <w:rPr>
          <w:b/>
        </w:rPr>
      </w:pPr>
      <w:r w:rsidRPr="000E52C9">
        <w:t>2</w:t>
      </w:r>
      <w:r w:rsidR="00280162">
        <w:t>9</w:t>
      </w:r>
      <w:r w:rsidRPr="000E52C9">
        <w:t>.</w:t>
      </w:r>
      <w:r>
        <w:rPr>
          <w:b/>
        </w:rPr>
        <w:tab/>
      </w:r>
      <w:r w:rsidR="00515118" w:rsidRPr="000E52C9">
        <w:rPr>
          <w:b/>
        </w:rPr>
        <w:t xml:space="preserve">The Committee recommends that the State party </w:t>
      </w:r>
      <w:r w:rsidR="00E21781" w:rsidRPr="000E52C9">
        <w:rPr>
          <w:b/>
        </w:rPr>
        <w:t xml:space="preserve">take steps to expand </w:t>
      </w:r>
      <w:r w:rsidR="00C40EC9" w:rsidRPr="000E52C9">
        <w:rPr>
          <w:b/>
        </w:rPr>
        <w:t xml:space="preserve">and to guarantee </w:t>
      </w:r>
      <w:r w:rsidR="0094497F" w:rsidRPr="000E52C9">
        <w:rPr>
          <w:b/>
        </w:rPr>
        <w:t xml:space="preserve">children’s </w:t>
      </w:r>
      <w:r w:rsidR="00E21781" w:rsidRPr="000E52C9">
        <w:rPr>
          <w:b/>
        </w:rPr>
        <w:t xml:space="preserve">access to </w:t>
      </w:r>
      <w:r w:rsidR="00A05873" w:rsidRPr="000E52C9">
        <w:rPr>
          <w:b/>
        </w:rPr>
        <w:t xml:space="preserve">appropriate information, including through </w:t>
      </w:r>
      <w:r w:rsidR="0016405B" w:rsidRPr="000E52C9">
        <w:rPr>
          <w:b/>
        </w:rPr>
        <w:t>free access to Internet an</w:t>
      </w:r>
      <w:r w:rsidR="00E21781" w:rsidRPr="000E52C9">
        <w:rPr>
          <w:b/>
        </w:rPr>
        <w:t>d</w:t>
      </w:r>
      <w:r w:rsidR="00A05873" w:rsidRPr="000E52C9">
        <w:rPr>
          <w:b/>
        </w:rPr>
        <w:t xml:space="preserve"> to international media</w:t>
      </w:r>
      <w:r w:rsidR="00495E41">
        <w:rPr>
          <w:b/>
        </w:rPr>
        <w:t>, while ensuring the independence of the national media</w:t>
      </w:r>
      <w:r w:rsidR="00E21781" w:rsidRPr="000E52C9">
        <w:rPr>
          <w:b/>
        </w:rPr>
        <w:t>.</w:t>
      </w:r>
    </w:p>
    <w:p w:rsidR="00404B0A" w:rsidRPr="004C42CF" w:rsidRDefault="004C42CF" w:rsidP="004C42CF">
      <w:pPr>
        <w:pStyle w:val="H1G"/>
      </w:pPr>
      <w:r>
        <w:tab/>
      </w:r>
      <w:r w:rsidR="004B145D">
        <w:t>D</w:t>
      </w:r>
      <w:r w:rsidR="00404B0A" w:rsidRPr="004C42CF">
        <w:t>.</w:t>
      </w:r>
      <w:r w:rsidR="00404B0A" w:rsidRPr="004C42CF">
        <w:tab/>
        <w:t>Violence against children (arts. 19, 24, para.3, 28, para. 2, 34, 37 (a) and 39)</w:t>
      </w:r>
    </w:p>
    <w:p w:rsidR="00F23E7B" w:rsidRDefault="00C70E82" w:rsidP="00C70E82">
      <w:pPr>
        <w:pStyle w:val="H23G"/>
        <w:rPr>
          <w:rFonts w:eastAsia="Malgun Gothic"/>
          <w:lang w:eastAsia="zh-CN"/>
        </w:rPr>
      </w:pPr>
      <w:r w:rsidRPr="00EF4C80">
        <w:rPr>
          <w:rFonts w:eastAsia="Malgun Gothic"/>
          <w:lang w:eastAsia="zh-CN"/>
        </w:rPr>
        <w:tab/>
      </w:r>
      <w:r w:rsidRPr="00EF4C80">
        <w:rPr>
          <w:rFonts w:eastAsia="Malgun Gothic"/>
          <w:lang w:eastAsia="zh-CN"/>
        </w:rPr>
        <w:tab/>
      </w:r>
      <w:r w:rsidR="00F23E7B" w:rsidRPr="000F687A">
        <w:rPr>
          <w:rFonts w:eastAsia="Malgun Gothic"/>
          <w:lang w:eastAsia="zh-CN"/>
        </w:rPr>
        <w:t>Torture and other cruel or degrading treatment or punishment</w:t>
      </w:r>
    </w:p>
    <w:p w:rsidR="00424281" w:rsidRPr="000E52C9" w:rsidRDefault="00280162" w:rsidP="000E52C9">
      <w:pPr>
        <w:pStyle w:val="SingleTxtG"/>
      </w:pPr>
      <w:r>
        <w:t>30</w:t>
      </w:r>
      <w:r w:rsidR="000E52C9">
        <w:t>.</w:t>
      </w:r>
      <w:r w:rsidR="000E52C9">
        <w:tab/>
      </w:r>
      <w:r w:rsidR="00A05873" w:rsidRPr="000E52C9">
        <w:t>While welcoming the amendment of the Criminal Code in 2012 to give a definition of torture in line with the Convention against Torture, t</w:t>
      </w:r>
      <w:r w:rsidR="004D4B2C" w:rsidRPr="000E52C9">
        <w:t xml:space="preserve">he Committee </w:t>
      </w:r>
      <w:r w:rsidR="00D75E0A" w:rsidRPr="000E52C9">
        <w:t>echoes the concerns of the Committee against Torture and the Human Rights Committee a</w:t>
      </w:r>
      <w:r w:rsidR="0094497F" w:rsidRPr="000E52C9">
        <w:t>bou</w:t>
      </w:r>
      <w:r w:rsidR="00D75E0A" w:rsidRPr="000E52C9">
        <w:t xml:space="preserve">t the use of </w:t>
      </w:r>
      <w:r w:rsidR="00601C5A" w:rsidRPr="000E52C9">
        <w:t xml:space="preserve">torture and ill-treatment for purposes of punishment or extraction of confessions, and that children might be among those affected. Moreover, the Committee is concerned at </w:t>
      </w:r>
      <w:r w:rsidR="00F92CD3" w:rsidRPr="000E52C9">
        <w:t>the</w:t>
      </w:r>
      <w:r w:rsidR="00424281" w:rsidRPr="000E52C9">
        <w:t xml:space="preserve"> absence of independent </w:t>
      </w:r>
      <w:r w:rsidR="00F92CD3" w:rsidRPr="000E52C9">
        <w:t>mechanisms</w:t>
      </w:r>
      <w:r w:rsidR="00424281" w:rsidRPr="000E52C9">
        <w:t xml:space="preserve"> </w:t>
      </w:r>
      <w:r w:rsidR="0094497F" w:rsidRPr="000E52C9">
        <w:t xml:space="preserve">to monitor </w:t>
      </w:r>
      <w:r w:rsidR="00424281" w:rsidRPr="000E52C9">
        <w:t xml:space="preserve">places of detention </w:t>
      </w:r>
      <w:r w:rsidR="00F92CD3" w:rsidRPr="000E52C9">
        <w:t>and</w:t>
      </w:r>
      <w:r w:rsidR="0094497F" w:rsidRPr="000E52C9">
        <w:t xml:space="preserve"> to allow children to complain in </w:t>
      </w:r>
      <w:r w:rsidR="00601C5A" w:rsidRPr="000E52C9">
        <w:t xml:space="preserve">cases of </w:t>
      </w:r>
      <w:r w:rsidR="00F92CD3" w:rsidRPr="000E52C9">
        <w:t xml:space="preserve">abuse by law enforcement officers. </w:t>
      </w:r>
    </w:p>
    <w:p w:rsidR="001C33A7" w:rsidRPr="000E52C9" w:rsidRDefault="000E52C9" w:rsidP="000E52C9">
      <w:pPr>
        <w:pStyle w:val="SingleTxtG"/>
        <w:rPr>
          <w:b/>
        </w:rPr>
      </w:pPr>
      <w:r w:rsidRPr="007D2058">
        <w:t>3</w:t>
      </w:r>
      <w:r w:rsidR="00280162">
        <w:t>1</w:t>
      </w:r>
      <w:r w:rsidRPr="007D2058">
        <w:t>.</w:t>
      </w:r>
      <w:r>
        <w:rPr>
          <w:b/>
        </w:rPr>
        <w:tab/>
      </w:r>
      <w:r w:rsidR="001C33A7" w:rsidRPr="000E52C9">
        <w:rPr>
          <w:b/>
        </w:rPr>
        <w:t xml:space="preserve">The Committee urges the State party to: </w:t>
      </w:r>
    </w:p>
    <w:p w:rsidR="00424281" w:rsidRPr="000E52C9" w:rsidRDefault="004C42CF" w:rsidP="000E52C9">
      <w:pPr>
        <w:pStyle w:val="SingleTxtG"/>
        <w:rPr>
          <w:b/>
        </w:rPr>
      </w:pPr>
      <w:r>
        <w:lastRenderedPageBreak/>
        <w:tab/>
      </w:r>
      <w:r w:rsidR="00407967" w:rsidRPr="000E52C9">
        <w:rPr>
          <w:b/>
        </w:rPr>
        <w:t>(a</w:t>
      </w:r>
      <w:r w:rsidR="00424281" w:rsidRPr="000E52C9">
        <w:rPr>
          <w:b/>
        </w:rPr>
        <w:t>)</w:t>
      </w:r>
      <w:r w:rsidR="00424281" w:rsidRPr="000E52C9">
        <w:rPr>
          <w:b/>
        </w:rPr>
        <w:tab/>
      </w:r>
      <w:r w:rsidR="0047251D" w:rsidRPr="000E52C9">
        <w:rPr>
          <w:b/>
        </w:rPr>
        <w:t>t</w:t>
      </w:r>
      <w:r w:rsidR="00424281" w:rsidRPr="000E52C9">
        <w:rPr>
          <w:b/>
        </w:rPr>
        <w:t xml:space="preserve">ake appropriate measures to put an end to torture </w:t>
      </w:r>
      <w:r w:rsidR="00407967" w:rsidRPr="000E52C9">
        <w:rPr>
          <w:b/>
        </w:rPr>
        <w:t xml:space="preserve">and ill-treatment </w:t>
      </w:r>
      <w:r w:rsidR="00424281" w:rsidRPr="000E52C9">
        <w:rPr>
          <w:b/>
        </w:rPr>
        <w:t xml:space="preserve">by, inter alia, establishing an independent body to carry out inspections and investigations in all places of detention of alleged misconduct by law enforcement officials; </w:t>
      </w:r>
    </w:p>
    <w:p w:rsidR="00601C5A" w:rsidRPr="000E52C9" w:rsidRDefault="004C42CF" w:rsidP="000E52C9">
      <w:pPr>
        <w:pStyle w:val="SingleTxtG"/>
        <w:rPr>
          <w:b/>
        </w:rPr>
      </w:pPr>
      <w:r w:rsidRPr="000E52C9">
        <w:rPr>
          <w:b/>
        </w:rPr>
        <w:tab/>
      </w:r>
      <w:r w:rsidR="00424281" w:rsidRPr="000E52C9">
        <w:rPr>
          <w:b/>
        </w:rPr>
        <w:t>(</w:t>
      </w:r>
      <w:r w:rsidR="00407967" w:rsidRPr="000E52C9">
        <w:rPr>
          <w:b/>
        </w:rPr>
        <w:t>b</w:t>
      </w:r>
      <w:r w:rsidR="00424281" w:rsidRPr="000E52C9">
        <w:rPr>
          <w:b/>
        </w:rPr>
        <w:t>)</w:t>
      </w:r>
      <w:r w:rsidR="00424281" w:rsidRPr="000E52C9">
        <w:rPr>
          <w:b/>
        </w:rPr>
        <w:tab/>
      </w:r>
      <w:r w:rsidR="0047251D" w:rsidRPr="000E52C9">
        <w:rPr>
          <w:b/>
        </w:rPr>
        <w:t>s</w:t>
      </w:r>
      <w:r w:rsidR="00601C5A" w:rsidRPr="000E52C9">
        <w:rPr>
          <w:b/>
        </w:rPr>
        <w:t xml:space="preserve">et up a mechanism to which children deprived of liberty in all areas, including </w:t>
      </w:r>
      <w:r w:rsidR="0064697E" w:rsidRPr="000E52C9">
        <w:rPr>
          <w:b/>
        </w:rPr>
        <w:t xml:space="preserve">children’s </w:t>
      </w:r>
      <w:r w:rsidR="00B61F75" w:rsidRPr="000E52C9">
        <w:rPr>
          <w:b/>
        </w:rPr>
        <w:t>institutions</w:t>
      </w:r>
      <w:r w:rsidR="0064697E" w:rsidRPr="000E52C9">
        <w:rPr>
          <w:b/>
        </w:rPr>
        <w:t xml:space="preserve"> and </w:t>
      </w:r>
      <w:r w:rsidR="00601C5A" w:rsidRPr="000E52C9">
        <w:rPr>
          <w:b/>
        </w:rPr>
        <w:t>psychiatric institutions, can address complaints of torture or other cruel, inhuman or degrading treatment or punishment;</w:t>
      </w:r>
    </w:p>
    <w:p w:rsidR="00601C5A" w:rsidRPr="000E52C9" w:rsidRDefault="004C42CF" w:rsidP="000E52C9">
      <w:pPr>
        <w:pStyle w:val="SingleTxtG"/>
        <w:rPr>
          <w:b/>
        </w:rPr>
      </w:pPr>
      <w:r w:rsidRPr="000E52C9">
        <w:rPr>
          <w:b/>
        </w:rPr>
        <w:tab/>
      </w:r>
      <w:r w:rsidR="00601C5A" w:rsidRPr="000E52C9">
        <w:rPr>
          <w:b/>
        </w:rPr>
        <w:t>(c)</w:t>
      </w:r>
      <w:r w:rsidR="00601C5A" w:rsidRPr="000E52C9">
        <w:rPr>
          <w:b/>
        </w:rPr>
        <w:tab/>
      </w:r>
      <w:r w:rsidR="0047251D" w:rsidRPr="000E52C9">
        <w:rPr>
          <w:b/>
        </w:rPr>
        <w:t>e</w:t>
      </w:r>
      <w:r w:rsidR="00601C5A" w:rsidRPr="000E52C9">
        <w:rPr>
          <w:b/>
        </w:rPr>
        <w:t>nsure that allegations of torture and ill-treatment of children are effectively investigated, and that perpetrators are prosecuted and punished with appropriate sanctions, and that the victims receive adequate reparation; and</w:t>
      </w:r>
    </w:p>
    <w:p w:rsidR="00424281" w:rsidRPr="000E52C9" w:rsidRDefault="004C42CF" w:rsidP="000E52C9">
      <w:pPr>
        <w:pStyle w:val="SingleTxtG"/>
        <w:rPr>
          <w:b/>
        </w:rPr>
      </w:pPr>
      <w:r w:rsidRPr="000E52C9">
        <w:rPr>
          <w:b/>
        </w:rPr>
        <w:tab/>
      </w:r>
      <w:r w:rsidR="00601C5A" w:rsidRPr="000E52C9">
        <w:rPr>
          <w:b/>
        </w:rPr>
        <w:t>(d)</w:t>
      </w:r>
      <w:r w:rsidR="00601C5A" w:rsidRPr="000E52C9">
        <w:rPr>
          <w:b/>
        </w:rPr>
        <w:tab/>
      </w:r>
      <w:r w:rsidR="0047251D" w:rsidRPr="000E52C9">
        <w:rPr>
          <w:b/>
        </w:rPr>
        <w:t>e</w:t>
      </w:r>
      <w:r w:rsidR="00424281" w:rsidRPr="000E52C9">
        <w:rPr>
          <w:b/>
        </w:rPr>
        <w:t xml:space="preserve">nsure that law enforcement personnel receive training on the prevention of torture and ill-treatment by integrating the 1999 Manual on the Effective Investigation and Documentation of Torture and Other Cruel, Inhuman or Degrading Treatment or Punishment (the Istanbul Protocol) in all training programmes for law enforcement officials. </w:t>
      </w:r>
    </w:p>
    <w:p w:rsidR="001C36A5" w:rsidRPr="000E52C9" w:rsidRDefault="001C36A5" w:rsidP="000E52C9">
      <w:pPr>
        <w:pStyle w:val="H23G"/>
      </w:pPr>
      <w:r>
        <w:tab/>
      </w:r>
      <w:r w:rsidR="0047251D" w:rsidRPr="000E52C9">
        <w:tab/>
      </w:r>
      <w:r w:rsidRPr="000E52C9">
        <w:t>Freedom of the child from all forms of violence</w:t>
      </w:r>
    </w:p>
    <w:p w:rsidR="001C36A5" w:rsidRPr="000E52C9" w:rsidRDefault="000E52C9" w:rsidP="000E52C9">
      <w:pPr>
        <w:pStyle w:val="SingleTxtG"/>
      </w:pPr>
      <w:r>
        <w:t>3</w:t>
      </w:r>
      <w:r w:rsidR="00280162">
        <w:t>2</w:t>
      </w:r>
      <w:r>
        <w:t>.</w:t>
      </w:r>
      <w:r>
        <w:tab/>
      </w:r>
      <w:r w:rsidR="001C36A5" w:rsidRPr="000E52C9">
        <w:t>The Committee is concerned at the</w:t>
      </w:r>
      <w:r w:rsidR="00FC6DDF" w:rsidRPr="000E52C9">
        <w:t xml:space="preserve"> lack of information about</w:t>
      </w:r>
      <w:r w:rsidR="001C36A5" w:rsidRPr="000E52C9">
        <w:t xml:space="preserve"> the level of violence against children, including in schools and children’s institutions. </w:t>
      </w:r>
    </w:p>
    <w:p w:rsidR="0047251D" w:rsidRPr="000E52C9" w:rsidRDefault="000E52C9" w:rsidP="000E52C9">
      <w:pPr>
        <w:pStyle w:val="SingleTxtG"/>
        <w:rPr>
          <w:rFonts w:eastAsia="Malgun Gothic"/>
          <w:b/>
        </w:rPr>
      </w:pPr>
      <w:r w:rsidRPr="007D2058">
        <w:t>3</w:t>
      </w:r>
      <w:r w:rsidR="00280162">
        <w:t>3</w:t>
      </w:r>
      <w:r w:rsidRPr="007D2058">
        <w:t>.</w:t>
      </w:r>
      <w:r>
        <w:rPr>
          <w:b/>
        </w:rPr>
        <w:tab/>
      </w:r>
      <w:r w:rsidR="00BA5AD6">
        <w:rPr>
          <w:b/>
        </w:rPr>
        <w:t>In the light of</w:t>
      </w:r>
      <w:r w:rsidR="001C36A5" w:rsidRPr="000E52C9">
        <w:rPr>
          <w:b/>
        </w:rPr>
        <w:t xml:space="preserve"> the Committee’s General comment No. 13 (2011) on the right of the child to freedom from all forms of violence, the Committee recommends that the State party assess the level of violence in all settings and establish an appropriate reporting mechanism t</w:t>
      </w:r>
      <w:r w:rsidR="00323B22" w:rsidRPr="000E52C9">
        <w:rPr>
          <w:b/>
        </w:rPr>
        <w:t>hrough</w:t>
      </w:r>
      <w:r w:rsidR="001C36A5" w:rsidRPr="000E52C9">
        <w:rPr>
          <w:b/>
        </w:rPr>
        <w:t xml:space="preserve"> which children can address complaints.</w:t>
      </w:r>
    </w:p>
    <w:p w:rsidR="000F0F0F" w:rsidRPr="00EF4C80" w:rsidRDefault="0047251D" w:rsidP="00C70E82">
      <w:pPr>
        <w:pStyle w:val="H23G"/>
        <w:rPr>
          <w:rFonts w:eastAsia="Malgun Gothic"/>
          <w:lang w:eastAsia="zh-CN"/>
        </w:rPr>
      </w:pPr>
      <w:r>
        <w:rPr>
          <w:rFonts w:eastAsia="Malgun Gothic"/>
          <w:lang w:eastAsia="zh-CN"/>
        </w:rPr>
        <w:tab/>
      </w:r>
      <w:r>
        <w:rPr>
          <w:rFonts w:eastAsia="Malgun Gothic"/>
          <w:lang w:eastAsia="zh-CN"/>
        </w:rPr>
        <w:tab/>
      </w:r>
      <w:r w:rsidR="000F0F0F" w:rsidRPr="000F687A">
        <w:rPr>
          <w:rFonts w:eastAsia="Malgun Gothic"/>
          <w:lang w:eastAsia="zh-CN"/>
        </w:rPr>
        <w:t>Corporal punishment</w:t>
      </w:r>
    </w:p>
    <w:p w:rsidR="00FF631F" w:rsidRPr="000E52C9" w:rsidRDefault="000E52C9" w:rsidP="000E52C9">
      <w:pPr>
        <w:pStyle w:val="SingleTxtG"/>
      </w:pPr>
      <w:r>
        <w:t>3</w:t>
      </w:r>
      <w:r w:rsidR="00280162">
        <w:t>4</w:t>
      </w:r>
      <w:r>
        <w:t>.</w:t>
      </w:r>
      <w:r>
        <w:tab/>
      </w:r>
      <w:r w:rsidR="005961A9" w:rsidRPr="000E52C9">
        <w:t xml:space="preserve">While taking note of the existence of a </w:t>
      </w:r>
      <w:r w:rsidR="00B665DD" w:rsidRPr="000E52C9">
        <w:t xml:space="preserve">legal </w:t>
      </w:r>
      <w:r w:rsidR="005506AF" w:rsidRPr="000E52C9">
        <w:t>ban on corporal punishment of children,</w:t>
      </w:r>
      <w:r w:rsidR="00D75E0A" w:rsidRPr="000E52C9">
        <w:t xml:space="preserve"> </w:t>
      </w:r>
      <w:r w:rsidR="005961A9" w:rsidRPr="000E52C9">
        <w:t xml:space="preserve">the Committee is concerned that the concept of corporal punishment is not fully understood and </w:t>
      </w:r>
      <w:r w:rsidR="001B659E" w:rsidRPr="000E52C9">
        <w:t>that corporal punishment</w:t>
      </w:r>
      <w:r w:rsidR="005961A9" w:rsidRPr="000E52C9">
        <w:t xml:space="preserve"> as a form of disciplining children </w:t>
      </w:r>
      <w:r w:rsidR="00B665DD" w:rsidRPr="000E52C9">
        <w:t xml:space="preserve">is still practised </w:t>
      </w:r>
      <w:r w:rsidR="005961A9" w:rsidRPr="000E52C9">
        <w:t xml:space="preserve">in the home setting. </w:t>
      </w:r>
    </w:p>
    <w:p w:rsidR="00B7038F" w:rsidRPr="000E52C9" w:rsidRDefault="000E52C9" w:rsidP="000E52C9">
      <w:pPr>
        <w:pStyle w:val="SingleTxtG"/>
        <w:rPr>
          <w:b/>
        </w:rPr>
      </w:pPr>
      <w:r>
        <w:t>3</w:t>
      </w:r>
      <w:r w:rsidR="00280162">
        <w:t>5</w:t>
      </w:r>
      <w:r>
        <w:t>.</w:t>
      </w:r>
      <w:r>
        <w:tab/>
      </w:r>
      <w:r w:rsidR="004D4B2C" w:rsidRPr="000E52C9">
        <w:rPr>
          <w:b/>
        </w:rPr>
        <w:t xml:space="preserve">With reference to the Committee’s </w:t>
      </w:r>
      <w:r w:rsidR="001B659E" w:rsidRPr="000E52C9">
        <w:rPr>
          <w:b/>
        </w:rPr>
        <w:t>G</w:t>
      </w:r>
      <w:r w:rsidR="004D4B2C" w:rsidRPr="000E52C9">
        <w:rPr>
          <w:b/>
        </w:rPr>
        <w:t>eneral comment No. 8 (2006) on corporal punishment</w:t>
      </w:r>
      <w:r w:rsidR="000F5DA6" w:rsidRPr="000E52C9">
        <w:rPr>
          <w:b/>
        </w:rPr>
        <w:t xml:space="preserve"> </w:t>
      </w:r>
      <w:r w:rsidR="004D4B2C" w:rsidRPr="000E52C9">
        <w:rPr>
          <w:b/>
        </w:rPr>
        <w:t>t</w:t>
      </w:r>
      <w:r w:rsidR="005506AF" w:rsidRPr="000E52C9">
        <w:rPr>
          <w:b/>
        </w:rPr>
        <w:t>he Committee recommends that the State party</w:t>
      </w:r>
      <w:r w:rsidR="00887197" w:rsidRPr="000E52C9">
        <w:rPr>
          <w:b/>
        </w:rPr>
        <w:t>:</w:t>
      </w:r>
      <w:r w:rsidR="005506AF" w:rsidRPr="000E52C9">
        <w:rPr>
          <w:b/>
        </w:rPr>
        <w:t xml:space="preserve"> </w:t>
      </w:r>
    </w:p>
    <w:p w:rsidR="00B7038F" w:rsidRPr="000E52C9" w:rsidRDefault="004C42CF" w:rsidP="000E52C9">
      <w:pPr>
        <w:pStyle w:val="SingleTxtG"/>
        <w:rPr>
          <w:b/>
        </w:rPr>
      </w:pPr>
      <w:r w:rsidRPr="000E52C9">
        <w:rPr>
          <w:b/>
        </w:rPr>
        <w:tab/>
        <w:t>(a)</w:t>
      </w:r>
      <w:r w:rsidRPr="000E52C9">
        <w:rPr>
          <w:b/>
        </w:rPr>
        <w:tab/>
      </w:r>
      <w:r w:rsidR="005506AF" w:rsidRPr="000E52C9">
        <w:rPr>
          <w:b/>
        </w:rPr>
        <w:t xml:space="preserve">take all necessary actions to implement the ban on corporal punishment </w:t>
      </w:r>
      <w:r w:rsidR="0094497F" w:rsidRPr="000E52C9">
        <w:rPr>
          <w:b/>
        </w:rPr>
        <w:t>on</w:t>
      </w:r>
      <w:r w:rsidR="005506AF" w:rsidRPr="000E52C9">
        <w:rPr>
          <w:b/>
        </w:rPr>
        <w:t xml:space="preserve"> children in all settings</w:t>
      </w:r>
      <w:r w:rsidR="004147E2" w:rsidRPr="000E52C9">
        <w:rPr>
          <w:b/>
        </w:rPr>
        <w:t>;</w:t>
      </w:r>
    </w:p>
    <w:p w:rsidR="004147E2" w:rsidRPr="000E52C9" w:rsidRDefault="004C42CF" w:rsidP="000E52C9">
      <w:pPr>
        <w:pStyle w:val="SingleTxtG"/>
        <w:rPr>
          <w:b/>
        </w:rPr>
      </w:pPr>
      <w:r w:rsidRPr="000E52C9">
        <w:rPr>
          <w:b/>
        </w:rPr>
        <w:tab/>
      </w:r>
      <w:r w:rsidR="00D31460" w:rsidRPr="000E52C9">
        <w:rPr>
          <w:b/>
        </w:rPr>
        <w:t>(b</w:t>
      </w:r>
      <w:r w:rsidRPr="000E52C9">
        <w:rPr>
          <w:b/>
        </w:rPr>
        <w:t>)</w:t>
      </w:r>
      <w:r w:rsidRPr="000E52C9">
        <w:rPr>
          <w:b/>
        </w:rPr>
        <w:tab/>
      </w:r>
      <w:r w:rsidR="004147E2" w:rsidRPr="000E52C9">
        <w:rPr>
          <w:b/>
        </w:rPr>
        <w:t xml:space="preserve">emphasize </w:t>
      </w:r>
      <w:r w:rsidR="00DE55D7" w:rsidRPr="000E52C9">
        <w:rPr>
          <w:b/>
        </w:rPr>
        <w:t>through</w:t>
      </w:r>
      <w:r w:rsidR="004147E2" w:rsidRPr="000E52C9">
        <w:rPr>
          <w:b/>
        </w:rPr>
        <w:t xml:space="preserve"> child rights education</w:t>
      </w:r>
      <w:r w:rsidR="00C97A1E" w:rsidRPr="000E52C9">
        <w:rPr>
          <w:b/>
        </w:rPr>
        <w:t xml:space="preserve"> programmes</w:t>
      </w:r>
      <w:r w:rsidR="004147E2" w:rsidRPr="000E52C9">
        <w:rPr>
          <w:b/>
        </w:rPr>
        <w:t xml:space="preserve"> and awareness-raising activities that corporal punishment is </w:t>
      </w:r>
      <w:r w:rsidR="0062221C" w:rsidRPr="000E52C9">
        <w:rPr>
          <w:b/>
        </w:rPr>
        <w:t xml:space="preserve">illegal and </w:t>
      </w:r>
      <w:r w:rsidR="004147E2" w:rsidRPr="000E52C9">
        <w:rPr>
          <w:b/>
        </w:rPr>
        <w:t>contrary to child</w:t>
      </w:r>
      <w:r w:rsidR="00A80B99" w:rsidRPr="000E52C9">
        <w:rPr>
          <w:b/>
        </w:rPr>
        <w:t>ren’s</w:t>
      </w:r>
      <w:r w:rsidR="004147E2" w:rsidRPr="000E52C9">
        <w:rPr>
          <w:b/>
        </w:rPr>
        <w:t xml:space="preserve"> rights and inform </w:t>
      </w:r>
      <w:r w:rsidR="00C97A1E" w:rsidRPr="000E52C9">
        <w:rPr>
          <w:b/>
        </w:rPr>
        <w:t>children ab</w:t>
      </w:r>
      <w:r w:rsidR="004147E2" w:rsidRPr="000E52C9">
        <w:rPr>
          <w:b/>
        </w:rPr>
        <w:t>out complaints mechanisms;</w:t>
      </w:r>
      <w:r w:rsidR="0047251D" w:rsidRPr="000E52C9">
        <w:rPr>
          <w:b/>
        </w:rPr>
        <w:t xml:space="preserve"> and</w:t>
      </w:r>
    </w:p>
    <w:p w:rsidR="005506AF" w:rsidRPr="000E52C9" w:rsidRDefault="001B77AD" w:rsidP="000E52C9">
      <w:pPr>
        <w:pStyle w:val="SingleTxtG"/>
        <w:rPr>
          <w:b/>
        </w:rPr>
      </w:pPr>
      <w:r>
        <w:rPr>
          <w:b/>
        </w:rPr>
        <w:tab/>
        <w:t>(c</w:t>
      </w:r>
      <w:r w:rsidR="004C42CF" w:rsidRPr="000E52C9">
        <w:rPr>
          <w:b/>
        </w:rPr>
        <w:t>)</w:t>
      </w:r>
      <w:r w:rsidR="004C42CF" w:rsidRPr="000E52C9">
        <w:rPr>
          <w:b/>
        </w:rPr>
        <w:tab/>
      </w:r>
      <w:r w:rsidR="004147E2" w:rsidRPr="000E52C9">
        <w:rPr>
          <w:b/>
        </w:rPr>
        <w:t>carry out public education</w:t>
      </w:r>
      <w:r w:rsidR="005961A9" w:rsidRPr="000E52C9">
        <w:rPr>
          <w:b/>
        </w:rPr>
        <w:t>al</w:t>
      </w:r>
      <w:r w:rsidR="004147E2" w:rsidRPr="000E52C9">
        <w:rPr>
          <w:b/>
        </w:rPr>
        <w:t xml:space="preserve"> campaigns, directed towards parents, about</w:t>
      </w:r>
      <w:r w:rsidR="005961A9" w:rsidRPr="000E52C9">
        <w:rPr>
          <w:b/>
        </w:rPr>
        <w:t xml:space="preserve"> the</w:t>
      </w:r>
      <w:r w:rsidR="004147E2" w:rsidRPr="000E52C9">
        <w:rPr>
          <w:b/>
        </w:rPr>
        <w:t xml:space="preserve"> negative consequences of ill</w:t>
      </w:r>
      <w:r w:rsidR="004147E2" w:rsidRPr="000E52C9">
        <w:rPr>
          <w:rFonts w:eastAsia="MS Mincho" w:hint="eastAsia"/>
          <w:b/>
        </w:rPr>
        <w:t>‑</w:t>
      </w:r>
      <w:r w:rsidR="004147E2" w:rsidRPr="000E52C9">
        <w:rPr>
          <w:b/>
        </w:rPr>
        <w:t>treatment of children and promote positive, non-violent forms of discipline.</w:t>
      </w:r>
    </w:p>
    <w:p w:rsidR="00242152" w:rsidRDefault="00404B0A" w:rsidP="00404B0A">
      <w:pPr>
        <w:pStyle w:val="H1G"/>
      </w:pPr>
      <w:r w:rsidRPr="00404B0A">
        <w:tab/>
      </w:r>
      <w:r w:rsidR="004B145D">
        <w:t>E</w:t>
      </w:r>
      <w:r w:rsidRPr="00404B0A">
        <w:t>.</w:t>
      </w:r>
      <w:r>
        <w:tab/>
      </w:r>
      <w:r w:rsidR="00242152">
        <w:t>Family environment and alternative care</w:t>
      </w:r>
    </w:p>
    <w:p w:rsidR="00324D36" w:rsidRPr="004C42CF" w:rsidRDefault="004C42CF" w:rsidP="004C42CF">
      <w:pPr>
        <w:pStyle w:val="H23G"/>
      </w:pPr>
      <w:r>
        <w:tab/>
      </w:r>
      <w:r>
        <w:tab/>
      </w:r>
      <w:r w:rsidR="005F32A9" w:rsidRPr="005F32A9">
        <w:t>Children deprived of a family environment</w:t>
      </w:r>
    </w:p>
    <w:p w:rsidR="00324D36" w:rsidRPr="000E52C9" w:rsidRDefault="000E52C9" w:rsidP="000E52C9">
      <w:pPr>
        <w:pStyle w:val="SingleTxtG"/>
      </w:pPr>
      <w:r>
        <w:t>3</w:t>
      </w:r>
      <w:r w:rsidR="00280162">
        <w:t>6</w:t>
      </w:r>
      <w:r>
        <w:t>.</w:t>
      </w:r>
      <w:r>
        <w:tab/>
      </w:r>
      <w:r w:rsidR="00324D36" w:rsidRPr="000E52C9">
        <w:t xml:space="preserve">While noting with appreciation the low rates of institutionalization in the State party, the Committee is nevertheless deeply concerned that it is possible for parents to temporarily place their children in State institutions. The Committee is further concerned at the lack of State support to parents experiencing difficulties in </w:t>
      </w:r>
      <w:r w:rsidR="00023290" w:rsidRPr="000E52C9">
        <w:t xml:space="preserve">the </w:t>
      </w:r>
      <w:r w:rsidR="00324D36" w:rsidRPr="000E52C9">
        <w:t xml:space="preserve">upbringing </w:t>
      </w:r>
      <w:r w:rsidR="00023290" w:rsidRPr="000E52C9">
        <w:t xml:space="preserve">of </w:t>
      </w:r>
      <w:r w:rsidR="00323B22" w:rsidRPr="000E52C9">
        <w:t xml:space="preserve">their </w:t>
      </w:r>
      <w:r w:rsidR="00324D36" w:rsidRPr="000E52C9">
        <w:t>children which increases institutionaliz</w:t>
      </w:r>
      <w:r w:rsidR="0003110D" w:rsidRPr="000E52C9">
        <w:t xml:space="preserve">ation of children. </w:t>
      </w:r>
    </w:p>
    <w:p w:rsidR="00324D36" w:rsidRPr="000E52C9" w:rsidRDefault="000E52C9" w:rsidP="000E52C9">
      <w:pPr>
        <w:pStyle w:val="SingleTxtG"/>
        <w:rPr>
          <w:b/>
        </w:rPr>
      </w:pPr>
      <w:r w:rsidRPr="000E52C9">
        <w:lastRenderedPageBreak/>
        <w:t>3</w:t>
      </w:r>
      <w:r w:rsidR="00280162">
        <w:t>7</w:t>
      </w:r>
      <w:r w:rsidRPr="000E52C9">
        <w:t>.</w:t>
      </w:r>
      <w:r>
        <w:rPr>
          <w:b/>
        </w:rPr>
        <w:tab/>
      </w:r>
      <w:r w:rsidR="00323B22" w:rsidRPr="000E52C9">
        <w:rPr>
          <w:b/>
        </w:rPr>
        <w:t>With reference to the Guidelines for the Alternative Care of Children annexed to the United Nations General Assembly resolution 64/142 of 20 December 2009, t</w:t>
      </w:r>
      <w:r w:rsidR="0047251D" w:rsidRPr="000E52C9">
        <w:rPr>
          <w:b/>
        </w:rPr>
        <w:t>he Committee recommends</w:t>
      </w:r>
      <w:r w:rsidR="00324D36" w:rsidRPr="000E52C9">
        <w:rPr>
          <w:b/>
        </w:rPr>
        <w:t xml:space="preserve"> th</w:t>
      </w:r>
      <w:r w:rsidR="00323B22" w:rsidRPr="000E52C9">
        <w:rPr>
          <w:b/>
        </w:rPr>
        <w:t>at th</w:t>
      </w:r>
      <w:r w:rsidR="00324D36" w:rsidRPr="000E52C9">
        <w:rPr>
          <w:b/>
        </w:rPr>
        <w:t>e State part</w:t>
      </w:r>
      <w:r w:rsidR="00323B22" w:rsidRPr="000E52C9">
        <w:rPr>
          <w:b/>
        </w:rPr>
        <w:t>y</w:t>
      </w:r>
      <w:r w:rsidR="00324D36" w:rsidRPr="000E52C9">
        <w:rPr>
          <w:b/>
        </w:rPr>
        <w:t>:</w:t>
      </w:r>
    </w:p>
    <w:p w:rsidR="00FD137E" w:rsidRPr="000E52C9" w:rsidRDefault="004C42CF" w:rsidP="000E52C9">
      <w:pPr>
        <w:pStyle w:val="SingleTxtG"/>
        <w:rPr>
          <w:b/>
        </w:rPr>
      </w:pPr>
      <w:r w:rsidRPr="000E52C9">
        <w:rPr>
          <w:b/>
        </w:rPr>
        <w:tab/>
        <w:t>(a)</w:t>
      </w:r>
      <w:r w:rsidRPr="000E52C9">
        <w:rPr>
          <w:b/>
        </w:rPr>
        <w:tab/>
      </w:r>
      <w:r w:rsidR="00324D36" w:rsidRPr="000E52C9">
        <w:rPr>
          <w:b/>
        </w:rPr>
        <w:t>improve the system of family support</w:t>
      </w:r>
      <w:r w:rsidR="003F7336" w:rsidRPr="000E52C9">
        <w:rPr>
          <w:b/>
        </w:rPr>
        <w:t xml:space="preserve"> and take measures to </w:t>
      </w:r>
      <w:r w:rsidR="00CE13B5" w:rsidRPr="000E52C9">
        <w:rPr>
          <w:b/>
        </w:rPr>
        <w:t xml:space="preserve">strengthen families, </w:t>
      </w:r>
      <w:r w:rsidR="00324D36" w:rsidRPr="000E52C9">
        <w:rPr>
          <w:b/>
        </w:rPr>
        <w:t xml:space="preserve">in order to prevent </w:t>
      </w:r>
      <w:r w:rsidR="00323B22" w:rsidRPr="000E52C9">
        <w:rPr>
          <w:b/>
        </w:rPr>
        <w:t xml:space="preserve">abuse, neglect and </w:t>
      </w:r>
      <w:r w:rsidR="00324D36" w:rsidRPr="000E52C9">
        <w:rPr>
          <w:b/>
        </w:rPr>
        <w:t>abandonment</w:t>
      </w:r>
      <w:r w:rsidR="00323B22" w:rsidRPr="000E52C9">
        <w:rPr>
          <w:b/>
        </w:rPr>
        <w:t xml:space="preserve"> </w:t>
      </w:r>
      <w:r w:rsidR="00324D36" w:rsidRPr="000E52C9">
        <w:rPr>
          <w:b/>
        </w:rPr>
        <w:t>of children;</w:t>
      </w:r>
    </w:p>
    <w:p w:rsidR="0047251D" w:rsidRPr="000E52C9" w:rsidRDefault="004C42CF" w:rsidP="000E52C9">
      <w:pPr>
        <w:pStyle w:val="SingleTxtG"/>
        <w:rPr>
          <w:b/>
        </w:rPr>
      </w:pPr>
      <w:r w:rsidRPr="000E52C9">
        <w:rPr>
          <w:b/>
        </w:rPr>
        <w:tab/>
        <w:t>(b)</w:t>
      </w:r>
      <w:r w:rsidRPr="000E52C9">
        <w:rPr>
          <w:b/>
        </w:rPr>
        <w:tab/>
      </w:r>
      <w:r w:rsidR="00FD137E" w:rsidRPr="000E52C9">
        <w:rPr>
          <w:b/>
        </w:rPr>
        <w:t xml:space="preserve">continue to develop and implement a comprehensive </w:t>
      </w:r>
      <w:r w:rsidR="003F7336" w:rsidRPr="000E52C9">
        <w:rPr>
          <w:b/>
        </w:rPr>
        <w:t>deinstitutionalization</w:t>
      </w:r>
      <w:r w:rsidR="00FD137E" w:rsidRPr="000E52C9">
        <w:rPr>
          <w:b/>
        </w:rPr>
        <w:t xml:space="preserve"> strategy</w:t>
      </w:r>
      <w:r w:rsidR="00CE13B5" w:rsidRPr="000E52C9">
        <w:rPr>
          <w:b/>
        </w:rPr>
        <w:t xml:space="preserve">; </w:t>
      </w:r>
    </w:p>
    <w:p w:rsidR="00324D36" w:rsidRPr="000E52C9" w:rsidRDefault="004C42CF" w:rsidP="000E52C9">
      <w:pPr>
        <w:pStyle w:val="SingleTxtG"/>
        <w:rPr>
          <w:b/>
        </w:rPr>
      </w:pPr>
      <w:r w:rsidRPr="000E52C9">
        <w:rPr>
          <w:b/>
        </w:rPr>
        <w:tab/>
        <w:t>(c)</w:t>
      </w:r>
      <w:r w:rsidRPr="000E52C9">
        <w:rPr>
          <w:b/>
        </w:rPr>
        <w:tab/>
      </w:r>
      <w:r w:rsidR="00324D36" w:rsidRPr="000E52C9">
        <w:rPr>
          <w:b/>
        </w:rPr>
        <w:t>facilitate family-based care for children and establish a system of foster care for children who cannot stay with their families;</w:t>
      </w:r>
    </w:p>
    <w:p w:rsidR="00324D36" w:rsidRPr="000E52C9" w:rsidRDefault="004C42CF" w:rsidP="000E52C9">
      <w:pPr>
        <w:pStyle w:val="SingleTxtG"/>
        <w:rPr>
          <w:b/>
        </w:rPr>
      </w:pPr>
      <w:r w:rsidRPr="000E52C9">
        <w:rPr>
          <w:b/>
        </w:rPr>
        <w:tab/>
        <w:t>(d)</w:t>
      </w:r>
      <w:r w:rsidRPr="000E52C9">
        <w:rPr>
          <w:b/>
        </w:rPr>
        <w:tab/>
      </w:r>
      <w:r w:rsidR="00323B22" w:rsidRPr="000E52C9">
        <w:rPr>
          <w:b/>
        </w:rPr>
        <w:t>a</w:t>
      </w:r>
      <w:r w:rsidR="00324D36" w:rsidRPr="000E52C9">
        <w:rPr>
          <w:b/>
        </w:rPr>
        <w:t>bolish the practice of temporar</w:t>
      </w:r>
      <w:r w:rsidR="00023290" w:rsidRPr="000E52C9">
        <w:rPr>
          <w:b/>
        </w:rPr>
        <w:t>y</w:t>
      </w:r>
      <w:r w:rsidR="00324D36" w:rsidRPr="000E52C9">
        <w:rPr>
          <w:b/>
        </w:rPr>
        <w:t xml:space="preserve"> placement of children in children</w:t>
      </w:r>
      <w:r w:rsidR="00023290" w:rsidRPr="000E52C9">
        <w:rPr>
          <w:b/>
        </w:rPr>
        <w:t>’s</w:t>
      </w:r>
      <w:r w:rsidR="00324D36" w:rsidRPr="000E52C9">
        <w:rPr>
          <w:b/>
        </w:rPr>
        <w:t xml:space="preserve"> institutions</w:t>
      </w:r>
      <w:r w:rsidR="00023290" w:rsidRPr="000E52C9">
        <w:rPr>
          <w:b/>
        </w:rPr>
        <w:t>;</w:t>
      </w:r>
      <w:r w:rsidR="00324D36" w:rsidRPr="000E52C9">
        <w:rPr>
          <w:b/>
        </w:rPr>
        <w:t xml:space="preserve"> and</w:t>
      </w:r>
    </w:p>
    <w:p w:rsidR="00324D36" w:rsidRPr="000E52C9" w:rsidRDefault="004C42CF" w:rsidP="000E52C9">
      <w:pPr>
        <w:pStyle w:val="SingleTxtG"/>
        <w:rPr>
          <w:b/>
        </w:rPr>
      </w:pPr>
      <w:r w:rsidRPr="000E52C9">
        <w:rPr>
          <w:b/>
        </w:rPr>
        <w:tab/>
        <w:t>(e)</w:t>
      </w:r>
      <w:r w:rsidRPr="000E52C9">
        <w:rPr>
          <w:b/>
        </w:rPr>
        <w:tab/>
      </w:r>
      <w:r w:rsidR="00324D36" w:rsidRPr="000E52C9">
        <w:rPr>
          <w:b/>
        </w:rPr>
        <w:t>conduct periodic reviews of placement of children and ensure that institutionalization is used</w:t>
      </w:r>
      <w:r w:rsidR="00D31460" w:rsidRPr="000E52C9">
        <w:rPr>
          <w:b/>
        </w:rPr>
        <w:t xml:space="preserve"> only as </w:t>
      </w:r>
      <w:r w:rsidR="00323B22" w:rsidRPr="000E52C9">
        <w:rPr>
          <w:b/>
        </w:rPr>
        <w:t xml:space="preserve">a </w:t>
      </w:r>
      <w:r w:rsidR="00D31460" w:rsidRPr="000E52C9">
        <w:rPr>
          <w:b/>
        </w:rPr>
        <w:t>measure of last resort</w:t>
      </w:r>
      <w:r w:rsidR="003F7336" w:rsidRPr="000E52C9">
        <w:rPr>
          <w:b/>
        </w:rPr>
        <w:t>.</w:t>
      </w:r>
    </w:p>
    <w:p w:rsidR="00242152" w:rsidRDefault="005F32A9" w:rsidP="00242152">
      <w:pPr>
        <w:pStyle w:val="H23G"/>
      </w:pPr>
      <w:r>
        <w:tab/>
      </w:r>
      <w:r>
        <w:tab/>
      </w:r>
      <w:r w:rsidR="004A0A90">
        <w:t>Adoption</w:t>
      </w:r>
      <w:r w:rsidR="00242152">
        <w:t xml:space="preserve"> </w:t>
      </w:r>
    </w:p>
    <w:p w:rsidR="004A0A90" w:rsidRPr="000E52C9" w:rsidRDefault="00280162" w:rsidP="000E52C9">
      <w:pPr>
        <w:pStyle w:val="SingleTxtG"/>
      </w:pPr>
      <w:r>
        <w:t>38</w:t>
      </w:r>
      <w:r w:rsidR="0008501A">
        <w:t>.</w:t>
      </w:r>
      <w:r w:rsidR="000E52C9">
        <w:tab/>
      </w:r>
      <w:r w:rsidR="00242152" w:rsidRPr="000E52C9">
        <w:t>The Committee</w:t>
      </w:r>
      <w:r w:rsidR="004A0A90" w:rsidRPr="000E52C9">
        <w:t xml:space="preserve"> reiterates its concern at the lack of a centralized system for registration of adoption</w:t>
      </w:r>
      <w:r w:rsidR="00B82A8B" w:rsidRPr="000E52C9">
        <w:t>,</w:t>
      </w:r>
      <w:r w:rsidR="004A0A90" w:rsidRPr="000E52C9">
        <w:t xml:space="preserve"> absence of disaggregated data on adopted children</w:t>
      </w:r>
      <w:r w:rsidR="00B82A8B" w:rsidRPr="000E52C9">
        <w:t>, and lack of a system of consultation</w:t>
      </w:r>
      <w:r w:rsidR="007570EB" w:rsidRPr="000E52C9">
        <w:t>s provided to</w:t>
      </w:r>
      <w:r w:rsidR="00B82A8B" w:rsidRPr="000E52C9">
        <w:t xml:space="preserve"> adoptive parents</w:t>
      </w:r>
      <w:r w:rsidR="004A0A90" w:rsidRPr="000E52C9">
        <w:t xml:space="preserve">. The Committee is </w:t>
      </w:r>
      <w:r w:rsidR="00B82A8B" w:rsidRPr="000E52C9">
        <w:t>further</w:t>
      </w:r>
      <w:r w:rsidR="004A0A90" w:rsidRPr="000E52C9">
        <w:t xml:space="preserve"> concerned that </w:t>
      </w:r>
      <w:r w:rsidR="00D012FB" w:rsidRPr="000E52C9">
        <w:t>there are children in State institutions with</w:t>
      </w:r>
      <w:r w:rsidR="00EA7952" w:rsidRPr="000E52C9">
        <w:t xml:space="preserve"> limited opportunities </w:t>
      </w:r>
      <w:r w:rsidR="00FB6C85" w:rsidRPr="000E52C9">
        <w:t xml:space="preserve">for </w:t>
      </w:r>
      <w:r>
        <w:t xml:space="preserve">adoption or </w:t>
      </w:r>
      <w:r w:rsidR="00FB6C85" w:rsidRPr="000E52C9">
        <w:t>placement</w:t>
      </w:r>
      <w:r w:rsidR="00D012FB" w:rsidRPr="000E52C9">
        <w:t xml:space="preserve"> in alternative care</w:t>
      </w:r>
      <w:r w:rsidR="00FB6C85" w:rsidRPr="000E52C9">
        <w:t>, particularly due to disability</w:t>
      </w:r>
      <w:r w:rsidR="00DB6034" w:rsidRPr="000E52C9">
        <w:t>.</w:t>
      </w:r>
    </w:p>
    <w:p w:rsidR="007570EB" w:rsidRPr="000E52C9" w:rsidRDefault="000E52C9" w:rsidP="000E52C9">
      <w:pPr>
        <w:pStyle w:val="SingleTxtG"/>
        <w:rPr>
          <w:b/>
        </w:rPr>
      </w:pPr>
      <w:r w:rsidRPr="000E52C9">
        <w:t>3</w:t>
      </w:r>
      <w:r w:rsidR="00280162">
        <w:t>9</w:t>
      </w:r>
      <w:r w:rsidRPr="000E52C9">
        <w:t>.</w:t>
      </w:r>
      <w:r>
        <w:rPr>
          <w:b/>
        </w:rPr>
        <w:tab/>
      </w:r>
      <w:r w:rsidR="004A0A90" w:rsidRPr="000E52C9">
        <w:rPr>
          <w:b/>
        </w:rPr>
        <w:t xml:space="preserve">The Committee reiterates its previous recommendation </w:t>
      </w:r>
      <w:r w:rsidR="0047251D" w:rsidRPr="000E52C9">
        <w:rPr>
          <w:b/>
        </w:rPr>
        <w:t xml:space="preserve">(CRC/C/TKM/CO/1, para. 41) </w:t>
      </w:r>
      <w:r w:rsidR="004A0A90" w:rsidRPr="000E52C9">
        <w:rPr>
          <w:b/>
        </w:rPr>
        <w:t xml:space="preserve">that the State party </w:t>
      </w:r>
      <w:r w:rsidR="00012F5F" w:rsidRPr="000E52C9">
        <w:rPr>
          <w:b/>
        </w:rPr>
        <w:t>consider</w:t>
      </w:r>
      <w:r w:rsidR="004A0A90" w:rsidRPr="000E52C9">
        <w:rPr>
          <w:b/>
        </w:rPr>
        <w:t xml:space="preserve"> setting up a centralized system for the registration of adoptions</w:t>
      </w:r>
      <w:r w:rsidR="00012F5F" w:rsidRPr="000E52C9">
        <w:rPr>
          <w:b/>
        </w:rPr>
        <w:t>,</w:t>
      </w:r>
      <w:r w:rsidR="004A0A90" w:rsidRPr="000E52C9">
        <w:rPr>
          <w:b/>
        </w:rPr>
        <w:t xml:space="preserve"> allow</w:t>
      </w:r>
      <w:r w:rsidR="00012F5F" w:rsidRPr="000E52C9">
        <w:rPr>
          <w:b/>
        </w:rPr>
        <w:t>ing</w:t>
      </w:r>
      <w:r w:rsidR="004A0A90" w:rsidRPr="000E52C9">
        <w:rPr>
          <w:b/>
        </w:rPr>
        <w:t xml:space="preserve"> the availability of disaggregated data in this respect. The Committee also recommends that the State party</w:t>
      </w:r>
      <w:r w:rsidR="007570EB" w:rsidRPr="000E52C9">
        <w:rPr>
          <w:b/>
        </w:rPr>
        <w:t>:</w:t>
      </w:r>
      <w:r w:rsidR="004A0A90" w:rsidRPr="000E52C9">
        <w:rPr>
          <w:b/>
        </w:rPr>
        <w:t xml:space="preserve"> </w:t>
      </w:r>
    </w:p>
    <w:p w:rsidR="007570EB" w:rsidRPr="000E52C9" w:rsidRDefault="004C42CF" w:rsidP="000E52C9">
      <w:pPr>
        <w:pStyle w:val="SingleTxtG"/>
        <w:rPr>
          <w:b/>
        </w:rPr>
      </w:pPr>
      <w:r w:rsidRPr="000E52C9">
        <w:rPr>
          <w:b/>
        </w:rPr>
        <w:tab/>
        <w:t>(a)</w:t>
      </w:r>
      <w:r w:rsidRPr="000E52C9">
        <w:rPr>
          <w:b/>
        </w:rPr>
        <w:tab/>
      </w:r>
      <w:r w:rsidR="0047251D" w:rsidRPr="000E52C9">
        <w:rPr>
          <w:b/>
        </w:rPr>
        <w:t>p</w:t>
      </w:r>
      <w:r w:rsidR="007570EB" w:rsidRPr="000E52C9">
        <w:rPr>
          <w:b/>
        </w:rPr>
        <w:t>rovide adoptive parents with regular consultations on parenting</w:t>
      </w:r>
      <w:r w:rsidR="005311E5" w:rsidRPr="000E52C9">
        <w:rPr>
          <w:b/>
        </w:rPr>
        <w:t xml:space="preserve"> skills</w:t>
      </w:r>
      <w:r w:rsidR="007570EB" w:rsidRPr="000E52C9">
        <w:rPr>
          <w:b/>
        </w:rPr>
        <w:t>;</w:t>
      </w:r>
      <w:r w:rsidR="006923EE" w:rsidRPr="000E52C9">
        <w:rPr>
          <w:b/>
        </w:rPr>
        <w:t xml:space="preserve"> </w:t>
      </w:r>
      <w:r w:rsidR="0047251D" w:rsidRPr="000E52C9">
        <w:rPr>
          <w:b/>
        </w:rPr>
        <w:t>and</w:t>
      </w:r>
      <w:r w:rsidR="00DB3556">
        <w:rPr>
          <w:b/>
        </w:rPr>
        <w:t>,</w:t>
      </w:r>
    </w:p>
    <w:p w:rsidR="007570EB" w:rsidRPr="000E52C9" w:rsidRDefault="004C42CF" w:rsidP="000E52C9">
      <w:pPr>
        <w:pStyle w:val="SingleTxtG"/>
        <w:rPr>
          <w:b/>
        </w:rPr>
      </w:pPr>
      <w:r w:rsidRPr="000E52C9">
        <w:rPr>
          <w:b/>
        </w:rPr>
        <w:tab/>
        <w:t>(b)</w:t>
      </w:r>
      <w:r w:rsidRPr="000E52C9">
        <w:rPr>
          <w:b/>
        </w:rPr>
        <w:tab/>
      </w:r>
      <w:r w:rsidR="0047251D" w:rsidRPr="000E52C9">
        <w:rPr>
          <w:b/>
        </w:rPr>
        <w:t>c</w:t>
      </w:r>
      <w:r w:rsidR="004F315A" w:rsidRPr="000E52C9">
        <w:rPr>
          <w:b/>
        </w:rPr>
        <w:t xml:space="preserve">onsider </w:t>
      </w:r>
      <w:r w:rsidR="004A0A90" w:rsidRPr="000E52C9">
        <w:rPr>
          <w:b/>
        </w:rPr>
        <w:t>ratifying the Hague Convention No. 33 on Protection of Children and Cooperation in Respect of Intercountry Adoption of 1993.</w:t>
      </w:r>
    </w:p>
    <w:p w:rsidR="007570EB" w:rsidRPr="000E52C9" w:rsidRDefault="00280162" w:rsidP="000E52C9">
      <w:pPr>
        <w:pStyle w:val="SingleTxtG"/>
      </w:pPr>
      <w:r>
        <w:t>40</w:t>
      </w:r>
      <w:r w:rsidR="000E52C9">
        <w:t>.</w:t>
      </w:r>
      <w:r w:rsidR="000E52C9">
        <w:tab/>
      </w:r>
      <w:r w:rsidR="007570EB" w:rsidRPr="000E52C9">
        <w:t xml:space="preserve">The Committee is concerned that no action has been taken by the State party on its previous recommendation </w:t>
      </w:r>
      <w:r w:rsidR="00A737C9" w:rsidRPr="000E52C9">
        <w:t xml:space="preserve">(CRC/C/TKM/CO/1, para. 43) </w:t>
      </w:r>
      <w:r w:rsidR="007570EB" w:rsidRPr="000E52C9">
        <w:t>to ensure that the adopted child has the right to know his or her biological parents and that violation of the confidentiality of the adoption continues to constitute a criminal offence.</w:t>
      </w:r>
    </w:p>
    <w:p w:rsidR="00A80B99" w:rsidRPr="000E52C9" w:rsidRDefault="000E52C9" w:rsidP="000E52C9">
      <w:pPr>
        <w:pStyle w:val="SingleTxtG"/>
        <w:rPr>
          <w:b/>
        </w:rPr>
      </w:pPr>
      <w:r>
        <w:rPr>
          <w:b/>
        </w:rPr>
        <w:t>4</w:t>
      </w:r>
      <w:r w:rsidR="00280162">
        <w:rPr>
          <w:b/>
        </w:rPr>
        <w:t>1</w:t>
      </w:r>
      <w:r>
        <w:rPr>
          <w:b/>
        </w:rPr>
        <w:t>.</w:t>
      </w:r>
      <w:r>
        <w:rPr>
          <w:b/>
        </w:rPr>
        <w:tab/>
      </w:r>
      <w:r w:rsidR="00B82A8B" w:rsidRPr="000E52C9">
        <w:rPr>
          <w:b/>
        </w:rPr>
        <w:t>The Committee reiterates its previous recommendations (</w:t>
      </w:r>
      <w:r w:rsidR="00257A10" w:rsidRPr="000E52C9">
        <w:rPr>
          <w:b/>
        </w:rPr>
        <w:t xml:space="preserve">CRC/C/TKM/CO/1, </w:t>
      </w:r>
      <w:r w:rsidR="00B82A8B" w:rsidRPr="000E52C9">
        <w:rPr>
          <w:b/>
        </w:rPr>
        <w:t>par</w:t>
      </w:r>
      <w:r w:rsidR="00257A10" w:rsidRPr="000E52C9">
        <w:rPr>
          <w:b/>
        </w:rPr>
        <w:t>a.</w:t>
      </w:r>
      <w:r w:rsidR="00B82A8B" w:rsidRPr="000E52C9">
        <w:rPr>
          <w:b/>
        </w:rPr>
        <w:t xml:space="preserve"> 43) and urges the State party to</w:t>
      </w:r>
      <w:r w:rsidR="00A80B99" w:rsidRPr="000E52C9">
        <w:rPr>
          <w:b/>
        </w:rPr>
        <w:t>:</w:t>
      </w:r>
    </w:p>
    <w:p w:rsidR="00A80B99" w:rsidRPr="000E52C9" w:rsidRDefault="000E52C9" w:rsidP="000E52C9">
      <w:pPr>
        <w:pStyle w:val="SingleTxtG"/>
        <w:rPr>
          <w:b/>
        </w:rPr>
      </w:pPr>
      <w:r>
        <w:rPr>
          <w:b/>
        </w:rPr>
        <w:tab/>
        <w:t>(a)</w:t>
      </w:r>
      <w:r>
        <w:rPr>
          <w:b/>
        </w:rPr>
        <w:tab/>
      </w:r>
      <w:r w:rsidR="007570EB" w:rsidRPr="000E52C9">
        <w:rPr>
          <w:b/>
        </w:rPr>
        <w:t>t</w:t>
      </w:r>
      <w:r w:rsidR="00B82A8B" w:rsidRPr="000E52C9">
        <w:rPr>
          <w:b/>
        </w:rPr>
        <w:t>ake the necessary measures to ensure that article 129 of the Marriage and Family Code and article 157 of the Criminal Code do not impede the right of the c</w:t>
      </w:r>
      <w:r w:rsidR="007570EB" w:rsidRPr="000E52C9">
        <w:rPr>
          <w:b/>
        </w:rPr>
        <w:t>hild to</w:t>
      </w:r>
      <w:r w:rsidR="00F3700D" w:rsidRPr="000E52C9">
        <w:rPr>
          <w:b/>
        </w:rPr>
        <w:t xml:space="preserve"> </w:t>
      </w:r>
      <w:r w:rsidR="004F315A" w:rsidRPr="000E52C9">
        <w:rPr>
          <w:b/>
        </w:rPr>
        <w:t xml:space="preserve">know his or her </w:t>
      </w:r>
      <w:r w:rsidR="008B69EF" w:rsidRPr="000E52C9">
        <w:rPr>
          <w:b/>
        </w:rPr>
        <w:t xml:space="preserve">biological </w:t>
      </w:r>
      <w:r w:rsidR="004F315A" w:rsidRPr="000E52C9">
        <w:rPr>
          <w:b/>
        </w:rPr>
        <w:t>parents</w:t>
      </w:r>
      <w:r w:rsidR="00A80B99" w:rsidRPr="000E52C9">
        <w:rPr>
          <w:b/>
        </w:rPr>
        <w:t>;</w:t>
      </w:r>
    </w:p>
    <w:p w:rsidR="00A80B99" w:rsidRPr="000E52C9" w:rsidRDefault="000E52C9" w:rsidP="000E52C9">
      <w:pPr>
        <w:pStyle w:val="SingleTxtG"/>
        <w:rPr>
          <w:b/>
        </w:rPr>
      </w:pPr>
      <w:r>
        <w:rPr>
          <w:b/>
        </w:rPr>
        <w:tab/>
        <w:t>(b)</w:t>
      </w:r>
      <w:r>
        <w:rPr>
          <w:b/>
        </w:rPr>
        <w:tab/>
      </w:r>
      <w:r w:rsidR="004F315A" w:rsidRPr="000E52C9">
        <w:rPr>
          <w:b/>
        </w:rPr>
        <w:t xml:space="preserve">conduct </w:t>
      </w:r>
      <w:r w:rsidR="00092687" w:rsidRPr="000E52C9">
        <w:rPr>
          <w:b/>
        </w:rPr>
        <w:t xml:space="preserve">awareness-raising campaigns and </w:t>
      </w:r>
      <w:r w:rsidR="004F315A" w:rsidRPr="000E52C9">
        <w:rPr>
          <w:b/>
        </w:rPr>
        <w:t xml:space="preserve">training </w:t>
      </w:r>
      <w:r w:rsidR="00E41B92" w:rsidRPr="000E52C9">
        <w:rPr>
          <w:b/>
        </w:rPr>
        <w:t xml:space="preserve">of </w:t>
      </w:r>
      <w:r w:rsidR="004F315A" w:rsidRPr="000E52C9">
        <w:rPr>
          <w:b/>
        </w:rPr>
        <w:t xml:space="preserve">professionals and prospective adoptive parents </w:t>
      </w:r>
      <w:r w:rsidR="00E41B92" w:rsidRPr="000E52C9">
        <w:rPr>
          <w:b/>
        </w:rPr>
        <w:t xml:space="preserve">on </w:t>
      </w:r>
      <w:r w:rsidR="004F315A" w:rsidRPr="000E52C9">
        <w:rPr>
          <w:b/>
        </w:rPr>
        <w:t xml:space="preserve">the </w:t>
      </w:r>
      <w:r w:rsidR="00EC262B" w:rsidRPr="000E52C9">
        <w:rPr>
          <w:b/>
        </w:rPr>
        <w:t xml:space="preserve">right of the child to know </w:t>
      </w:r>
      <w:r w:rsidR="00E41B92" w:rsidRPr="000E52C9">
        <w:rPr>
          <w:b/>
        </w:rPr>
        <w:t>his/her origin</w:t>
      </w:r>
      <w:r w:rsidR="00257A10" w:rsidRPr="000E52C9">
        <w:rPr>
          <w:b/>
        </w:rPr>
        <w:t>s</w:t>
      </w:r>
      <w:r w:rsidR="00E41B92" w:rsidRPr="000E52C9">
        <w:rPr>
          <w:b/>
        </w:rPr>
        <w:t xml:space="preserve"> and access to information about his/her background</w:t>
      </w:r>
      <w:r w:rsidR="00A80B99" w:rsidRPr="000E52C9">
        <w:rPr>
          <w:b/>
        </w:rPr>
        <w:t>; and</w:t>
      </w:r>
    </w:p>
    <w:p w:rsidR="00B82A8B" w:rsidRPr="000E52C9" w:rsidRDefault="000E52C9" w:rsidP="000E52C9">
      <w:pPr>
        <w:pStyle w:val="SingleTxtG"/>
        <w:rPr>
          <w:b/>
        </w:rPr>
      </w:pPr>
      <w:r>
        <w:rPr>
          <w:b/>
        </w:rPr>
        <w:tab/>
        <w:t>(c)</w:t>
      </w:r>
      <w:r>
        <w:rPr>
          <w:b/>
        </w:rPr>
        <w:tab/>
      </w:r>
      <w:r w:rsidR="004F315A" w:rsidRPr="000E52C9">
        <w:rPr>
          <w:b/>
        </w:rPr>
        <w:t>seek technical assist</w:t>
      </w:r>
      <w:r w:rsidR="002D0408" w:rsidRPr="000E52C9">
        <w:rPr>
          <w:b/>
        </w:rPr>
        <w:t xml:space="preserve">ance </w:t>
      </w:r>
      <w:r w:rsidR="00DB3556">
        <w:rPr>
          <w:b/>
        </w:rPr>
        <w:t xml:space="preserve">from </w:t>
      </w:r>
      <w:r w:rsidR="002D0408" w:rsidRPr="000E52C9">
        <w:rPr>
          <w:b/>
        </w:rPr>
        <w:t>UNICEF in this respect.</w:t>
      </w:r>
    </w:p>
    <w:p w:rsidR="00404B0A" w:rsidRPr="000E52C9" w:rsidRDefault="004C42CF" w:rsidP="000E52C9">
      <w:pPr>
        <w:pStyle w:val="H1G"/>
      </w:pPr>
      <w:r>
        <w:lastRenderedPageBreak/>
        <w:tab/>
      </w:r>
      <w:r w:rsidR="004B145D" w:rsidRPr="000E52C9">
        <w:t>F</w:t>
      </w:r>
      <w:r w:rsidRPr="000E52C9">
        <w:t>.</w:t>
      </w:r>
      <w:r w:rsidR="004A0A90" w:rsidRPr="000E52C9">
        <w:tab/>
      </w:r>
      <w:r w:rsidR="00404B0A" w:rsidRPr="000E52C9">
        <w:t>Disability, basic health and welfare (arts. 6, 18 (para. 3), 23, 24, 26, 27 (paras. 1-3) and 33)</w:t>
      </w:r>
    </w:p>
    <w:p w:rsidR="000F0F0F" w:rsidRPr="00EF4C80" w:rsidRDefault="00145B3E" w:rsidP="000E52C9">
      <w:pPr>
        <w:pStyle w:val="H23G"/>
        <w:rPr>
          <w:bCs/>
        </w:rPr>
      </w:pPr>
      <w:r w:rsidRPr="00EF4C80">
        <w:tab/>
      </w:r>
      <w:r w:rsidRPr="00EF4C80">
        <w:tab/>
      </w:r>
      <w:r w:rsidR="000F0F0F" w:rsidRPr="000F687A">
        <w:t>Children with disabilities</w:t>
      </w:r>
    </w:p>
    <w:p w:rsidR="00C358A5" w:rsidRPr="000E52C9" w:rsidRDefault="000E52C9" w:rsidP="000E52C9">
      <w:pPr>
        <w:pStyle w:val="SingleTxtG"/>
      </w:pPr>
      <w:r>
        <w:t>4</w:t>
      </w:r>
      <w:r w:rsidR="00280162">
        <w:t>2</w:t>
      </w:r>
      <w:r>
        <w:t>.</w:t>
      </w:r>
      <w:r>
        <w:tab/>
      </w:r>
      <w:r w:rsidR="000F0F0F" w:rsidRPr="000E52C9">
        <w:t>The Committee</w:t>
      </w:r>
      <w:r w:rsidR="009F29F8" w:rsidRPr="000E52C9">
        <w:t xml:space="preserve"> notes </w:t>
      </w:r>
      <w:r w:rsidR="00280162">
        <w:t>as positive</w:t>
      </w:r>
      <w:r w:rsidR="009F29F8" w:rsidRPr="000E52C9">
        <w:t xml:space="preserve"> the efforts of the State party to provide children with disabilities with inclusive education</w:t>
      </w:r>
      <w:r w:rsidR="005F5445" w:rsidRPr="000E52C9">
        <w:t xml:space="preserve">, inter alia, through the creation of a network </w:t>
      </w:r>
      <w:r w:rsidR="00A069D1" w:rsidRPr="000E52C9">
        <w:t>of the</w:t>
      </w:r>
      <w:r w:rsidR="00D012FB" w:rsidRPr="000E52C9">
        <w:t xml:space="preserve"> </w:t>
      </w:r>
      <w:r w:rsidR="005F5445" w:rsidRPr="000E52C9">
        <w:t>“child-friendly schools”</w:t>
      </w:r>
      <w:r w:rsidR="009F29F8" w:rsidRPr="000E52C9">
        <w:t>.</w:t>
      </w:r>
      <w:r w:rsidR="000F5DA6" w:rsidRPr="000E52C9">
        <w:t xml:space="preserve"> </w:t>
      </w:r>
      <w:r w:rsidR="009F29F8" w:rsidRPr="000E52C9">
        <w:t>However, the C</w:t>
      </w:r>
      <w:r w:rsidR="00887197" w:rsidRPr="000E52C9">
        <w:t xml:space="preserve">ommittee </w:t>
      </w:r>
      <w:r w:rsidR="00280162">
        <w:t>is concerned at</w:t>
      </w:r>
      <w:r w:rsidR="00887197" w:rsidRPr="000E52C9">
        <w:t>:</w:t>
      </w:r>
    </w:p>
    <w:p w:rsidR="009F29F8" w:rsidRPr="000E52C9" w:rsidRDefault="004C42CF" w:rsidP="000E52C9">
      <w:pPr>
        <w:pStyle w:val="SingleTxtG"/>
      </w:pPr>
      <w:r w:rsidRPr="000E52C9">
        <w:tab/>
      </w:r>
      <w:r w:rsidR="00C358A5" w:rsidRPr="000E52C9">
        <w:t>(a)</w:t>
      </w:r>
      <w:r w:rsidR="00C358A5" w:rsidRPr="000E52C9">
        <w:tab/>
      </w:r>
      <w:r w:rsidR="009F29F8" w:rsidRPr="000E52C9">
        <w:t>the lack of information with regard to the community-based rehabilitation programmes and home-base care</w:t>
      </w:r>
      <w:r w:rsidR="00C358A5" w:rsidRPr="000E52C9">
        <w:t xml:space="preserve"> </w:t>
      </w:r>
      <w:r w:rsidR="00280162">
        <w:t>for</w:t>
      </w:r>
      <w:r w:rsidR="00C358A5" w:rsidRPr="000E52C9">
        <w:t xml:space="preserve"> children with disabilities;</w:t>
      </w:r>
    </w:p>
    <w:p w:rsidR="00C358A5" w:rsidRPr="000E52C9" w:rsidRDefault="004C42CF" w:rsidP="000E52C9">
      <w:pPr>
        <w:pStyle w:val="SingleTxtG"/>
      </w:pPr>
      <w:r w:rsidRPr="000E52C9">
        <w:tab/>
      </w:r>
      <w:r w:rsidR="00C358A5" w:rsidRPr="000E52C9">
        <w:t>(b)</w:t>
      </w:r>
      <w:r w:rsidR="00C358A5" w:rsidRPr="000E52C9">
        <w:tab/>
        <w:t xml:space="preserve">that </w:t>
      </w:r>
      <w:r w:rsidR="007B0BF2" w:rsidRPr="000E52C9">
        <w:t xml:space="preserve">children </w:t>
      </w:r>
      <w:r w:rsidR="00B325A7" w:rsidRPr="000E52C9">
        <w:t>with disabilit</w:t>
      </w:r>
      <w:r w:rsidR="00BA5AD6">
        <w:t>ies</w:t>
      </w:r>
      <w:r w:rsidR="00B325A7" w:rsidRPr="000E52C9">
        <w:t xml:space="preserve"> </w:t>
      </w:r>
      <w:r w:rsidR="007B0BF2" w:rsidRPr="000E52C9">
        <w:t>reaching the age</w:t>
      </w:r>
      <w:r w:rsidR="0019129F" w:rsidRPr="000E52C9">
        <w:t xml:space="preserve"> o</w:t>
      </w:r>
      <w:r w:rsidR="007B0BF2" w:rsidRPr="000E52C9">
        <w:t>f 16 years old are treated as adults for the purpose of</w:t>
      </w:r>
      <w:r w:rsidR="000F5DA6" w:rsidRPr="000E52C9">
        <w:t xml:space="preserve"> </w:t>
      </w:r>
      <w:r w:rsidR="00C358A5" w:rsidRPr="000E52C9">
        <w:t>disability allowances</w:t>
      </w:r>
      <w:r w:rsidR="0047251D" w:rsidRPr="000E52C9">
        <w:t xml:space="preserve"> or other forms of support; and</w:t>
      </w:r>
    </w:p>
    <w:p w:rsidR="00C358A5" w:rsidRPr="000E52C9" w:rsidRDefault="004C42CF" w:rsidP="000E52C9">
      <w:pPr>
        <w:pStyle w:val="SingleTxtG"/>
      </w:pPr>
      <w:r w:rsidRPr="000E52C9">
        <w:tab/>
      </w:r>
      <w:r w:rsidR="00C358A5" w:rsidRPr="000E52C9">
        <w:t>(c)</w:t>
      </w:r>
      <w:r w:rsidR="00C358A5" w:rsidRPr="000E52C9">
        <w:tab/>
        <w:t>that professionals such as psychologists and social workers are not adequately trained to support the</w:t>
      </w:r>
      <w:r w:rsidR="00B325A7" w:rsidRPr="000E52C9">
        <w:t xml:space="preserve"> needs of children with disabilities</w:t>
      </w:r>
      <w:r w:rsidR="00C358A5" w:rsidRPr="000E52C9">
        <w:t xml:space="preserve">. </w:t>
      </w:r>
    </w:p>
    <w:p w:rsidR="00C358A5" w:rsidRPr="007D2058" w:rsidRDefault="007D2058" w:rsidP="007D2058">
      <w:pPr>
        <w:pStyle w:val="SingleTxtG"/>
        <w:rPr>
          <w:b/>
        </w:rPr>
      </w:pPr>
      <w:r w:rsidRPr="007D2058">
        <w:t>4</w:t>
      </w:r>
      <w:r w:rsidR="00280162">
        <w:t>3</w:t>
      </w:r>
      <w:r w:rsidRPr="007D2058">
        <w:t>.</w:t>
      </w:r>
      <w:r>
        <w:rPr>
          <w:b/>
        </w:rPr>
        <w:tab/>
      </w:r>
      <w:r w:rsidR="000E15DE" w:rsidRPr="007D2058">
        <w:rPr>
          <w:b/>
        </w:rPr>
        <w:t xml:space="preserve">In the light of its </w:t>
      </w:r>
      <w:r w:rsidR="007B7201" w:rsidRPr="007D2058">
        <w:rPr>
          <w:b/>
        </w:rPr>
        <w:t>G</w:t>
      </w:r>
      <w:r w:rsidR="000E15DE" w:rsidRPr="007D2058">
        <w:rPr>
          <w:b/>
        </w:rPr>
        <w:t>eneral comment No. 9 (2006) on the rights of children with disabilities,</w:t>
      </w:r>
      <w:r w:rsidR="000F0F0F" w:rsidRPr="007D2058">
        <w:rPr>
          <w:b/>
        </w:rPr>
        <w:t xml:space="preserve"> the Committee urges the State party to</w:t>
      </w:r>
      <w:r w:rsidR="00280162" w:rsidRPr="00280162">
        <w:rPr>
          <w:b/>
        </w:rPr>
        <w:t xml:space="preserve"> </w:t>
      </w:r>
      <w:r w:rsidR="00280162" w:rsidRPr="007D2058">
        <w:rPr>
          <w:b/>
        </w:rPr>
        <w:t>adopt a human rights-based approach to disability and to</w:t>
      </w:r>
      <w:r w:rsidR="007B7201" w:rsidRPr="007D2058">
        <w:rPr>
          <w:b/>
        </w:rPr>
        <w:t>:</w:t>
      </w:r>
    </w:p>
    <w:p w:rsidR="00AE278D" w:rsidRPr="007D2058" w:rsidRDefault="004C42CF" w:rsidP="007D2058">
      <w:pPr>
        <w:pStyle w:val="SingleTxtG"/>
        <w:rPr>
          <w:b/>
        </w:rPr>
      </w:pPr>
      <w:r w:rsidRPr="007D2058">
        <w:rPr>
          <w:b/>
        </w:rPr>
        <w:tab/>
      </w:r>
      <w:r w:rsidR="00AE278D" w:rsidRPr="007D2058">
        <w:rPr>
          <w:b/>
        </w:rPr>
        <w:t>(a)</w:t>
      </w:r>
      <w:r w:rsidR="00AE278D" w:rsidRPr="007D2058">
        <w:rPr>
          <w:b/>
        </w:rPr>
        <w:tab/>
      </w:r>
      <w:r w:rsidR="00C358A5" w:rsidRPr="007D2058">
        <w:rPr>
          <w:b/>
        </w:rPr>
        <w:t>develop</w:t>
      </w:r>
      <w:r w:rsidR="009F29F8" w:rsidRPr="007D2058">
        <w:rPr>
          <w:b/>
        </w:rPr>
        <w:t xml:space="preserve"> the community-based rehabilitation programmes and home-base care, </w:t>
      </w:r>
      <w:r w:rsidR="00AE278D" w:rsidRPr="007D2058">
        <w:rPr>
          <w:b/>
        </w:rPr>
        <w:t>with a view to reducing the institutionalization of children with disabilities;</w:t>
      </w:r>
    </w:p>
    <w:p w:rsidR="00D31460" w:rsidRPr="007D2058" w:rsidRDefault="004C42CF" w:rsidP="007D2058">
      <w:pPr>
        <w:pStyle w:val="SingleTxtG"/>
        <w:rPr>
          <w:b/>
        </w:rPr>
      </w:pPr>
      <w:r w:rsidRPr="007D2058">
        <w:rPr>
          <w:b/>
        </w:rPr>
        <w:tab/>
      </w:r>
      <w:r w:rsidR="00AE278D" w:rsidRPr="007D2058">
        <w:rPr>
          <w:b/>
        </w:rPr>
        <w:t>(b)</w:t>
      </w:r>
      <w:r w:rsidR="00AE278D" w:rsidRPr="007D2058">
        <w:rPr>
          <w:b/>
        </w:rPr>
        <w:tab/>
      </w:r>
      <w:r w:rsidR="009F29F8" w:rsidRPr="007D2058">
        <w:rPr>
          <w:b/>
        </w:rPr>
        <w:t>accelerate its efforts towards the inclusive education of children with disabilities</w:t>
      </w:r>
      <w:r w:rsidR="00C358A5" w:rsidRPr="007D2058">
        <w:rPr>
          <w:b/>
        </w:rPr>
        <w:t>;</w:t>
      </w:r>
      <w:r w:rsidR="00887197" w:rsidRPr="007D2058">
        <w:rPr>
          <w:b/>
        </w:rPr>
        <w:t xml:space="preserve"> </w:t>
      </w:r>
    </w:p>
    <w:p w:rsidR="000C0497" w:rsidRPr="007D2058" w:rsidRDefault="004C42CF" w:rsidP="007D2058">
      <w:pPr>
        <w:pStyle w:val="SingleTxtG"/>
        <w:rPr>
          <w:b/>
        </w:rPr>
      </w:pPr>
      <w:r w:rsidRPr="007D2058">
        <w:rPr>
          <w:b/>
        </w:rPr>
        <w:tab/>
        <w:t>(c)</w:t>
      </w:r>
      <w:r w:rsidR="00AE278D" w:rsidRPr="007D2058">
        <w:rPr>
          <w:b/>
        </w:rPr>
        <w:tab/>
      </w:r>
      <w:r w:rsidR="005F5445" w:rsidRPr="007D2058">
        <w:rPr>
          <w:b/>
        </w:rPr>
        <w:t>extend the network of “child-friendly schools” and ensure that the staff is sufficient</w:t>
      </w:r>
      <w:r w:rsidR="00336BE8" w:rsidRPr="007D2058">
        <w:rPr>
          <w:b/>
        </w:rPr>
        <w:t xml:space="preserve">ly </w:t>
      </w:r>
      <w:r w:rsidR="005F5445" w:rsidRPr="007D2058">
        <w:rPr>
          <w:b/>
        </w:rPr>
        <w:t>and appropriate</w:t>
      </w:r>
      <w:r w:rsidR="00336BE8" w:rsidRPr="007D2058">
        <w:rPr>
          <w:b/>
        </w:rPr>
        <w:t>ly</w:t>
      </w:r>
      <w:r w:rsidR="005F5445" w:rsidRPr="007D2058">
        <w:rPr>
          <w:b/>
        </w:rPr>
        <w:t xml:space="preserve"> trai</w:t>
      </w:r>
      <w:r w:rsidR="00061F15" w:rsidRPr="007D2058">
        <w:rPr>
          <w:b/>
        </w:rPr>
        <w:t>ned;</w:t>
      </w:r>
      <w:r w:rsidR="005F5445" w:rsidRPr="007D2058" w:rsidDel="005F5445">
        <w:rPr>
          <w:b/>
        </w:rPr>
        <w:t xml:space="preserve"> </w:t>
      </w:r>
    </w:p>
    <w:p w:rsidR="005B776F" w:rsidRPr="007D2058" w:rsidRDefault="004C42CF" w:rsidP="007D2058">
      <w:pPr>
        <w:pStyle w:val="SingleTxtG"/>
        <w:rPr>
          <w:b/>
        </w:rPr>
      </w:pPr>
      <w:r w:rsidRPr="007D2058">
        <w:rPr>
          <w:b/>
        </w:rPr>
        <w:tab/>
      </w:r>
      <w:r w:rsidR="00AE278D" w:rsidRPr="007D2058">
        <w:rPr>
          <w:b/>
        </w:rPr>
        <w:t>(d)</w:t>
      </w:r>
      <w:r w:rsidR="00AE278D" w:rsidRPr="007D2058">
        <w:rPr>
          <w:b/>
        </w:rPr>
        <w:tab/>
      </w:r>
      <w:r w:rsidR="005B776F" w:rsidRPr="007D2058">
        <w:rPr>
          <w:b/>
        </w:rPr>
        <w:t>make the child disability allowances payable up to the age of 18; and</w:t>
      </w:r>
    </w:p>
    <w:p w:rsidR="00C358A5" w:rsidRPr="007D2058" w:rsidRDefault="004C42CF" w:rsidP="007D2058">
      <w:pPr>
        <w:pStyle w:val="SingleTxtG"/>
        <w:rPr>
          <w:b/>
        </w:rPr>
      </w:pPr>
      <w:r w:rsidRPr="007D2058">
        <w:rPr>
          <w:b/>
        </w:rPr>
        <w:tab/>
      </w:r>
      <w:r w:rsidR="005B776F" w:rsidRPr="007D2058">
        <w:rPr>
          <w:b/>
        </w:rPr>
        <w:t>(e)</w:t>
      </w:r>
      <w:r w:rsidR="005B776F" w:rsidRPr="007D2058">
        <w:rPr>
          <w:b/>
        </w:rPr>
        <w:tab/>
      </w:r>
      <w:r w:rsidR="00AE278D" w:rsidRPr="007D2058">
        <w:rPr>
          <w:b/>
        </w:rPr>
        <w:t>e</w:t>
      </w:r>
      <w:r w:rsidR="00C358A5" w:rsidRPr="007D2058">
        <w:rPr>
          <w:b/>
        </w:rPr>
        <w:t>nsure that adequate human, technical and financial resources are allocated to alternative care centres and relevant child protection services, in order to facilitate the rehabilitation and social reintegration of children resid</w:t>
      </w:r>
      <w:r w:rsidR="00280162">
        <w:rPr>
          <w:b/>
        </w:rPr>
        <w:t>ing</w:t>
      </w:r>
      <w:r w:rsidR="00C358A5" w:rsidRPr="007D2058">
        <w:rPr>
          <w:b/>
        </w:rPr>
        <w:t xml:space="preserve"> therein to the greatest extent possible. </w:t>
      </w:r>
    </w:p>
    <w:p w:rsidR="000F0F0F" w:rsidRPr="007D2058" w:rsidRDefault="00145B3E" w:rsidP="007D2058">
      <w:pPr>
        <w:pStyle w:val="H23G"/>
        <w:rPr>
          <w:rFonts w:eastAsia="Malgun Gothic"/>
        </w:rPr>
      </w:pPr>
      <w:r w:rsidRPr="007D2058">
        <w:rPr>
          <w:rFonts w:eastAsia="Malgun Gothic"/>
        </w:rPr>
        <w:tab/>
      </w:r>
      <w:r w:rsidRPr="007D2058">
        <w:rPr>
          <w:rFonts w:eastAsia="Malgun Gothic"/>
        </w:rPr>
        <w:tab/>
      </w:r>
      <w:r w:rsidR="000F0F0F" w:rsidRPr="007D2058">
        <w:rPr>
          <w:rFonts w:eastAsia="Malgun Gothic"/>
        </w:rPr>
        <w:t>Health and health services</w:t>
      </w:r>
    </w:p>
    <w:p w:rsidR="000D35EF" w:rsidRPr="007D2058" w:rsidRDefault="007D2058" w:rsidP="007D2058">
      <w:pPr>
        <w:pStyle w:val="SingleTxtG"/>
      </w:pPr>
      <w:r>
        <w:t>4</w:t>
      </w:r>
      <w:r w:rsidR="00280162">
        <w:t>4</w:t>
      </w:r>
      <w:r>
        <w:t>.</w:t>
      </w:r>
      <w:r>
        <w:tab/>
      </w:r>
      <w:r w:rsidR="00103CD4" w:rsidRPr="007D2058">
        <w:t>The Committee</w:t>
      </w:r>
      <w:r w:rsidR="000D35EF" w:rsidRPr="007D2058">
        <w:t xml:space="preserve"> is concerned at reports on </w:t>
      </w:r>
      <w:r w:rsidR="00B325A7" w:rsidRPr="007D2058">
        <w:t xml:space="preserve">the </w:t>
      </w:r>
      <w:r w:rsidR="000D35EF" w:rsidRPr="007D2058">
        <w:t>insufficient number of family doctors</w:t>
      </w:r>
      <w:r w:rsidR="00AE278D" w:rsidRPr="007D2058">
        <w:t>, nurses and midwifes,</w:t>
      </w:r>
      <w:r w:rsidR="000D35EF" w:rsidRPr="007D2058">
        <w:t xml:space="preserve"> </w:t>
      </w:r>
      <w:r w:rsidR="00AE278D" w:rsidRPr="007D2058">
        <w:t xml:space="preserve">in particular in rural areas, </w:t>
      </w:r>
      <w:r w:rsidR="00B325A7" w:rsidRPr="007D2058">
        <w:t xml:space="preserve">the </w:t>
      </w:r>
      <w:r w:rsidR="00AE278D" w:rsidRPr="007D2058">
        <w:t xml:space="preserve">lack of medicines </w:t>
      </w:r>
      <w:r w:rsidR="00B96EB2" w:rsidRPr="007D2058">
        <w:t>and the acute</w:t>
      </w:r>
      <w:r w:rsidR="000D35EF" w:rsidRPr="007D2058">
        <w:t xml:space="preserve"> need </w:t>
      </w:r>
      <w:r w:rsidR="00B96EB2" w:rsidRPr="007D2058">
        <w:t xml:space="preserve">to improve </w:t>
      </w:r>
      <w:r w:rsidR="000D35EF" w:rsidRPr="007D2058">
        <w:t xml:space="preserve">knowledge and skills of medical personnel. </w:t>
      </w:r>
    </w:p>
    <w:p w:rsidR="000E15DE" w:rsidRPr="007D2058" w:rsidRDefault="007D2058" w:rsidP="007D2058">
      <w:pPr>
        <w:pStyle w:val="SingleTxtG"/>
        <w:rPr>
          <w:b/>
        </w:rPr>
      </w:pPr>
      <w:r w:rsidRPr="007D2058">
        <w:t>4</w:t>
      </w:r>
      <w:r w:rsidR="0008501A">
        <w:t>5</w:t>
      </w:r>
      <w:r w:rsidRPr="007D2058">
        <w:t>.</w:t>
      </w:r>
      <w:r>
        <w:rPr>
          <w:b/>
        </w:rPr>
        <w:tab/>
      </w:r>
      <w:r w:rsidR="00B325A7" w:rsidRPr="007D2058">
        <w:rPr>
          <w:b/>
        </w:rPr>
        <w:t>In the light of</w:t>
      </w:r>
      <w:r w:rsidR="000E15DE" w:rsidRPr="007D2058">
        <w:rPr>
          <w:b/>
        </w:rPr>
        <w:t xml:space="preserve"> its </w:t>
      </w:r>
      <w:r w:rsidR="007B7201" w:rsidRPr="007D2058">
        <w:rPr>
          <w:b/>
        </w:rPr>
        <w:t>G</w:t>
      </w:r>
      <w:r w:rsidR="000E15DE" w:rsidRPr="007D2058">
        <w:rPr>
          <w:b/>
        </w:rPr>
        <w:t xml:space="preserve">eneral comment No. 15 (2013) on the right of the child to health, </w:t>
      </w:r>
      <w:r w:rsidR="00B325A7" w:rsidRPr="007D2058">
        <w:rPr>
          <w:b/>
        </w:rPr>
        <w:t>the Committee</w:t>
      </w:r>
      <w:r w:rsidR="000E15DE" w:rsidRPr="007D2058">
        <w:rPr>
          <w:b/>
        </w:rPr>
        <w:t xml:space="preserve"> recommends that the State party:</w:t>
      </w:r>
    </w:p>
    <w:p w:rsidR="00B96EB2" w:rsidRPr="007D2058" w:rsidRDefault="004C42CF" w:rsidP="007D2058">
      <w:pPr>
        <w:pStyle w:val="SingleTxtG"/>
        <w:rPr>
          <w:b/>
        </w:rPr>
      </w:pPr>
      <w:r w:rsidRPr="007D2058">
        <w:rPr>
          <w:b/>
        </w:rPr>
        <w:tab/>
      </w:r>
      <w:r w:rsidR="00B96EB2" w:rsidRPr="007D2058">
        <w:rPr>
          <w:b/>
        </w:rPr>
        <w:t>(</w:t>
      </w:r>
      <w:r w:rsidR="008E6156" w:rsidRPr="007D2058">
        <w:rPr>
          <w:b/>
        </w:rPr>
        <w:t>a</w:t>
      </w:r>
      <w:r w:rsidRPr="007D2058">
        <w:rPr>
          <w:b/>
        </w:rPr>
        <w:t>)</w:t>
      </w:r>
      <w:r w:rsidRPr="007D2058">
        <w:rPr>
          <w:b/>
        </w:rPr>
        <w:tab/>
      </w:r>
      <w:r w:rsidR="00B72F4D" w:rsidRPr="007D2058">
        <w:rPr>
          <w:b/>
        </w:rPr>
        <w:t xml:space="preserve">ensure </w:t>
      </w:r>
      <w:r w:rsidR="00B325A7" w:rsidRPr="007D2058">
        <w:rPr>
          <w:b/>
        </w:rPr>
        <w:t xml:space="preserve">a </w:t>
      </w:r>
      <w:r w:rsidR="00B72F4D" w:rsidRPr="007D2058">
        <w:rPr>
          <w:b/>
        </w:rPr>
        <w:t>sufficient number of family doctors, nurses and midwifes, and</w:t>
      </w:r>
      <w:r w:rsidR="00B325A7" w:rsidRPr="007D2058">
        <w:rPr>
          <w:b/>
        </w:rPr>
        <w:t xml:space="preserve"> increase</w:t>
      </w:r>
      <w:r w:rsidR="00B72F4D" w:rsidRPr="007D2058">
        <w:rPr>
          <w:b/>
        </w:rPr>
        <w:t xml:space="preserve"> the availability of medicines, especially in rural areas; </w:t>
      </w:r>
    </w:p>
    <w:p w:rsidR="00B96EB2" w:rsidRPr="007D2058" w:rsidRDefault="004C42CF" w:rsidP="007D2058">
      <w:pPr>
        <w:pStyle w:val="SingleTxtG"/>
        <w:rPr>
          <w:b/>
        </w:rPr>
      </w:pPr>
      <w:r w:rsidRPr="007D2058">
        <w:rPr>
          <w:b/>
        </w:rPr>
        <w:tab/>
      </w:r>
      <w:r w:rsidR="00B96EB2" w:rsidRPr="007D2058">
        <w:rPr>
          <w:b/>
        </w:rPr>
        <w:t>(</w:t>
      </w:r>
      <w:r w:rsidR="008E6156" w:rsidRPr="007D2058">
        <w:rPr>
          <w:b/>
        </w:rPr>
        <w:t>b</w:t>
      </w:r>
      <w:r w:rsidRPr="007D2058">
        <w:rPr>
          <w:b/>
        </w:rPr>
        <w:t>)</w:t>
      </w:r>
      <w:r w:rsidRPr="007D2058">
        <w:rPr>
          <w:b/>
        </w:rPr>
        <w:tab/>
      </w:r>
      <w:r w:rsidR="00B72F4D" w:rsidRPr="007D2058">
        <w:rPr>
          <w:b/>
        </w:rPr>
        <w:t xml:space="preserve">take measures to ensure that all health-care personnel responsible for health care for children </w:t>
      </w:r>
      <w:r w:rsidR="00B325A7" w:rsidRPr="007D2058">
        <w:rPr>
          <w:b/>
        </w:rPr>
        <w:t>is</w:t>
      </w:r>
      <w:r w:rsidR="00B72F4D" w:rsidRPr="007D2058">
        <w:rPr>
          <w:b/>
        </w:rPr>
        <w:t xml:space="preserve"> well qualified and well trained; and</w:t>
      </w:r>
    </w:p>
    <w:p w:rsidR="00C42E25" w:rsidRPr="007D2058" w:rsidRDefault="004C42CF" w:rsidP="007D2058">
      <w:pPr>
        <w:pStyle w:val="SingleTxtG"/>
        <w:rPr>
          <w:b/>
        </w:rPr>
      </w:pPr>
      <w:r w:rsidRPr="007D2058">
        <w:rPr>
          <w:b/>
        </w:rPr>
        <w:tab/>
      </w:r>
      <w:r w:rsidR="00B96EB2" w:rsidRPr="007D2058">
        <w:rPr>
          <w:b/>
        </w:rPr>
        <w:t>(</w:t>
      </w:r>
      <w:r w:rsidR="008E6156" w:rsidRPr="007D2058">
        <w:rPr>
          <w:b/>
        </w:rPr>
        <w:t>c</w:t>
      </w:r>
      <w:r w:rsidR="00B96EB2" w:rsidRPr="007D2058">
        <w:rPr>
          <w:b/>
        </w:rPr>
        <w:t>)</w:t>
      </w:r>
      <w:r w:rsidRPr="007D2058">
        <w:rPr>
          <w:b/>
        </w:rPr>
        <w:tab/>
      </w:r>
      <w:r w:rsidR="004F405C" w:rsidRPr="007D2058">
        <w:rPr>
          <w:b/>
        </w:rPr>
        <w:t>s</w:t>
      </w:r>
      <w:r w:rsidR="000F0F0F" w:rsidRPr="007D2058">
        <w:rPr>
          <w:b/>
        </w:rPr>
        <w:t>eek financial and technical assistance from</w:t>
      </w:r>
      <w:r w:rsidR="000E15DE" w:rsidRPr="007D2058">
        <w:rPr>
          <w:b/>
        </w:rPr>
        <w:t xml:space="preserve"> </w:t>
      </w:r>
      <w:r w:rsidR="000F0F0F" w:rsidRPr="007D2058">
        <w:rPr>
          <w:b/>
        </w:rPr>
        <w:t>UNICEF</w:t>
      </w:r>
      <w:r w:rsidR="00BA03F3" w:rsidRPr="007D2058">
        <w:rPr>
          <w:b/>
        </w:rPr>
        <w:t xml:space="preserve"> and</w:t>
      </w:r>
      <w:r w:rsidR="000F0F0F" w:rsidRPr="007D2058">
        <w:rPr>
          <w:b/>
        </w:rPr>
        <w:t xml:space="preserve"> </w:t>
      </w:r>
      <w:r w:rsidR="00BA03F3" w:rsidRPr="007D2058">
        <w:rPr>
          <w:b/>
        </w:rPr>
        <w:t>the World Health Organization (</w:t>
      </w:r>
      <w:r w:rsidR="000F0F0F" w:rsidRPr="007D2058">
        <w:rPr>
          <w:b/>
        </w:rPr>
        <w:t>WHO</w:t>
      </w:r>
      <w:r w:rsidR="00BA03F3" w:rsidRPr="007D2058">
        <w:rPr>
          <w:b/>
        </w:rPr>
        <w:t>),</w:t>
      </w:r>
      <w:r w:rsidR="00AE278D" w:rsidRPr="007D2058">
        <w:rPr>
          <w:b/>
        </w:rPr>
        <w:t xml:space="preserve"> among others, in this regard.</w:t>
      </w:r>
    </w:p>
    <w:p w:rsidR="000F0F0F" w:rsidRPr="00EF4C80" w:rsidRDefault="00910C5D" w:rsidP="00EC0880">
      <w:pPr>
        <w:pStyle w:val="H23G"/>
        <w:rPr>
          <w:rFonts w:eastAsia="Malgun Gothic"/>
          <w:lang w:eastAsia="zh-CN"/>
        </w:rPr>
      </w:pPr>
      <w:r>
        <w:rPr>
          <w:rFonts w:eastAsia="Malgun Gothic"/>
          <w:lang w:eastAsia="zh-CN"/>
        </w:rPr>
        <w:tab/>
      </w:r>
      <w:r>
        <w:rPr>
          <w:rFonts w:eastAsia="Malgun Gothic"/>
          <w:lang w:eastAsia="zh-CN"/>
        </w:rPr>
        <w:tab/>
      </w:r>
      <w:r w:rsidR="000F0F0F" w:rsidRPr="000F687A">
        <w:rPr>
          <w:rFonts w:eastAsia="Malgun Gothic"/>
          <w:lang w:eastAsia="zh-CN"/>
        </w:rPr>
        <w:t>HIV/AIDS</w:t>
      </w:r>
      <w:r w:rsidR="000F0F0F" w:rsidRPr="00EF4C80">
        <w:rPr>
          <w:rFonts w:eastAsia="Malgun Gothic"/>
          <w:lang w:eastAsia="zh-CN"/>
        </w:rPr>
        <w:t xml:space="preserve"> </w:t>
      </w:r>
    </w:p>
    <w:p w:rsidR="006A2406" w:rsidRPr="007D2058" w:rsidRDefault="007D2058" w:rsidP="007D2058">
      <w:pPr>
        <w:pStyle w:val="SingleTxtG"/>
      </w:pPr>
      <w:r>
        <w:t>4</w:t>
      </w:r>
      <w:r w:rsidR="0008501A">
        <w:t>6</w:t>
      </w:r>
      <w:r>
        <w:t>.</w:t>
      </w:r>
      <w:r>
        <w:tab/>
      </w:r>
      <w:r w:rsidR="00EA3440" w:rsidRPr="007D2058">
        <w:t>While welcoming</w:t>
      </w:r>
      <w:r w:rsidR="00EA25F7" w:rsidRPr="007D2058">
        <w:t xml:space="preserve"> the adoption in 2012 of a National Programme on HIV/AIDS and</w:t>
      </w:r>
      <w:r w:rsidR="00492E5B" w:rsidRPr="007D2058">
        <w:t xml:space="preserve"> all the eff</w:t>
      </w:r>
      <w:r w:rsidR="005311E5" w:rsidRPr="007D2058">
        <w:t>o</w:t>
      </w:r>
      <w:r w:rsidR="00492E5B" w:rsidRPr="007D2058">
        <w:t>rts undertaken in this regard</w:t>
      </w:r>
      <w:r w:rsidR="00EC262B" w:rsidRPr="007D2058">
        <w:t xml:space="preserve">, </w:t>
      </w:r>
      <w:r w:rsidR="00492E5B" w:rsidRPr="007D2058">
        <w:t>particularly educating adolescents and</w:t>
      </w:r>
      <w:r w:rsidR="00EA25F7" w:rsidRPr="007D2058">
        <w:t xml:space="preserve"> train</w:t>
      </w:r>
      <w:r w:rsidR="0051494F" w:rsidRPr="007D2058">
        <w:t>in</w:t>
      </w:r>
      <w:r w:rsidR="00EA25F7" w:rsidRPr="007D2058">
        <w:t xml:space="preserve">g </w:t>
      </w:r>
      <w:r w:rsidR="00887197" w:rsidRPr="007D2058">
        <w:t>doctors</w:t>
      </w:r>
      <w:r w:rsidR="00EA3440" w:rsidRPr="007D2058">
        <w:t>, t</w:t>
      </w:r>
      <w:r w:rsidR="000F0F0F" w:rsidRPr="007D2058">
        <w:t>he Committee</w:t>
      </w:r>
      <w:r w:rsidR="00327B77" w:rsidRPr="007D2058">
        <w:t xml:space="preserve"> </w:t>
      </w:r>
      <w:r w:rsidR="00E02652" w:rsidRPr="007D2058">
        <w:t xml:space="preserve">notes </w:t>
      </w:r>
      <w:r w:rsidR="00012F5F" w:rsidRPr="007D2058">
        <w:t xml:space="preserve">that, according to official statistics, there are </w:t>
      </w:r>
      <w:r w:rsidR="00EC262B" w:rsidRPr="007D2058">
        <w:t>no</w:t>
      </w:r>
      <w:r w:rsidR="00012F5F" w:rsidRPr="007D2058">
        <w:t xml:space="preserve"> detected </w:t>
      </w:r>
      <w:r w:rsidR="00012F5F" w:rsidRPr="007D2058">
        <w:lastRenderedPageBreak/>
        <w:t>cases of HIV/AIDS. T</w:t>
      </w:r>
      <w:r w:rsidR="00327B77" w:rsidRPr="007D2058">
        <w:t xml:space="preserve">he </w:t>
      </w:r>
      <w:r w:rsidR="00E02652" w:rsidRPr="007D2058">
        <w:t>Committee is</w:t>
      </w:r>
      <w:r w:rsidR="00492E5B" w:rsidRPr="007D2058">
        <w:t xml:space="preserve"> nevertheless</w:t>
      </w:r>
      <w:r w:rsidR="00BA5AD6">
        <w:t xml:space="preserve"> </w:t>
      </w:r>
      <w:r w:rsidR="00E02652" w:rsidRPr="007D2058">
        <w:t>concerned a</w:t>
      </w:r>
      <w:r w:rsidR="00012F5F" w:rsidRPr="007D2058">
        <w:t>bou</w:t>
      </w:r>
      <w:r w:rsidR="00B325A7" w:rsidRPr="007D2058">
        <w:t xml:space="preserve">t </w:t>
      </w:r>
      <w:r w:rsidR="00327B77" w:rsidRPr="007D2058">
        <w:t>reports</w:t>
      </w:r>
      <w:r w:rsidR="00E02652" w:rsidRPr="007D2058">
        <w:t xml:space="preserve"> </w:t>
      </w:r>
      <w:r w:rsidR="00327B77" w:rsidRPr="007D2058">
        <w:t xml:space="preserve">that </w:t>
      </w:r>
      <w:r w:rsidR="00E02652" w:rsidRPr="007D2058">
        <w:t>p</w:t>
      </w:r>
      <w:r w:rsidR="00327B77" w:rsidRPr="007D2058">
        <w:t xml:space="preserve">hysicians </w:t>
      </w:r>
      <w:r w:rsidR="00012F5F" w:rsidRPr="007D2058">
        <w:t>might be</w:t>
      </w:r>
      <w:r w:rsidR="00327B77" w:rsidRPr="007D2058">
        <w:t xml:space="preserve"> reluctant to diagnose the disease. </w:t>
      </w:r>
      <w:r w:rsidR="006A2406" w:rsidRPr="007D2058">
        <w:t>The Committee is also concerned a</w:t>
      </w:r>
      <w:r w:rsidR="007D1F9D" w:rsidRPr="007D2058">
        <w:t>bou</w:t>
      </w:r>
      <w:r w:rsidR="006A2406" w:rsidRPr="007D2058">
        <w:t>t the lack of support groups or community-based rehabilitation programmes</w:t>
      </w:r>
      <w:r w:rsidR="00EA3440" w:rsidRPr="007D2058">
        <w:t xml:space="preserve">, in particular </w:t>
      </w:r>
      <w:r w:rsidR="006A2406" w:rsidRPr="007D2058">
        <w:t xml:space="preserve">in the rural areas near the border with Afghanistan and Uzbekistan where the rate of </w:t>
      </w:r>
      <w:r w:rsidR="00327B77" w:rsidRPr="007D2058">
        <w:t xml:space="preserve">AIDS transmission </w:t>
      </w:r>
      <w:r w:rsidR="006A2406" w:rsidRPr="007D2058">
        <w:t>from drug-addict</w:t>
      </w:r>
      <w:r w:rsidR="00B31762" w:rsidRPr="007D2058">
        <w:t>ed</w:t>
      </w:r>
      <w:r w:rsidR="006A2406" w:rsidRPr="007D2058">
        <w:t xml:space="preserve"> parents </w:t>
      </w:r>
      <w:r w:rsidR="00327B77" w:rsidRPr="007D2058">
        <w:t>to their children</w:t>
      </w:r>
      <w:r w:rsidR="006A2406" w:rsidRPr="007D2058">
        <w:t xml:space="preserve"> is </w:t>
      </w:r>
      <w:r w:rsidR="0051494F" w:rsidRPr="007D2058">
        <w:t xml:space="preserve">reportedly </w:t>
      </w:r>
      <w:r w:rsidR="006A2406" w:rsidRPr="007D2058">
        <w:t>high.</w:t>
      </w:r>
    </w:p>
    <w:p w:rsidR="000F0F0F" w:rsidRPr="007D2058" w:rsidRDefault="007D2058" w:rsidP="007D2058">
      <w:pPr>
        <w:pStyle w:val="SingleTxtG"/>
        <w:rPr>
          <w:b/>
        </w:rPr>
      </w:pPr>
      <w:r>
        <w:rPr>
          <w:b/>
        </w:rPr>
        <w:t>4</w:t>
      </w:r>
      <w:r w:rsidR="0008501A">
        <w:rPr>
          <w:b/>
        </w:rPr>
        <w:t>7</w:t>
      </w:r>
      <w:r>
        <w:rPr>
          <w:b/>
        </w:rPr>
        <w:t>.</w:t>
      </w:r>
      <w:r>
        <w:rPr>
          <w:b/>
        </w:rPr>
        <w:tab/>
      </w:r>
      <w:r w:rsidR="000E15DE" w:rsidRPr="007D2058">
        <w:rPr>
          <w:b/>
        </w:rPr>
        <w:t>In</w:t>
      </w:r>
      <w:r w:rsidR="00A717B6" w:rsidRPr="007D2058">
        <w:rPr>
          <w:b/>
        </w:rPr>
        <w:t xml:space="preserve"> the</w:t>
      </w:r>
      <w:r w:rsidR="000E15DE" w:rsidRPr="007D2058">
        <w:rPr>
          <w:b/>
        </w:rPr>
        <w:t xml:space="preserve"> light of its </w:t>
      </w:r>
      <w:r w:rsidR="00041708" w:rsidRPr="007D2058">
        <w:rPr>
          <w:b/>
        </w:rPr>
        <w:t>G</w:t>
      </w:r>
      <w:r w:rsidR="000E15DE" w:rsidRPr="007D2058">
        <w:rPr>
          <w:b/>
        </w:rPr>
        <w:t>eneral comment No. 3 (2003) on HIV/AIDS and the rights of the child, the Committee recommends that the State party</w:t>
      </w:r>
      <w:r>
        <w:rPr>
          <w:b/>
        </w:rPr>
        <w:t>:</w:t>
      </w:r>
    </w:p>
    <w:p w:rsidR="00382B72" w:rsidRPr="007D2058" w:rsidRDefault="004C42CF" w:rsidP="007D2058">
      <w:pPr>
        <w:pStyle w:val="SingleTxtG"/>
        <w:rPr>
          <w:b/>
        </w:rPr>
      </w:pPr>
      <w:r w:rsidRPr="007D2058">
        <w:rPr>
          <w:b/>
        </w:rPr>
        <w:tab/>
        <w:t>(a)</w:t>
      </w:r>
      <w:r w:rsidRPr="007D2058">
        <w:rPr>
          <w:b/>
        </w:rPr>
        <w:tab/>
      </w:r>
      <w:r w:rsidR="00003F55" w:rsidRPr="007D2058">
        <w:rPr>
          <w:b/>
        </w:rPr>
        <w:t>s</w:t>
      </w:r>
      <w:r w:rsidR="00382B72" w:rsidRPr="007D2058">
        <w:rPr>
          <w:b/>
        </w:rPr>
        <w:t>ustain the measures in place to prevent mother-to-child transmission of HIV/AIDS and develop a roadmap to ensure the implementation of effective preventive measures;</w:t>
      </w:r>
    </w:p>
    <w:p w:rsidR="00382B72" w:rsidRPr="007D2058" w:rsidRDefault="004C42CF" w:rsidP="007D2058">
      <w:pPr>
        <w:pStyle w:val="SingleTxtG"/>
        <w:rPr>
          <w:b/>
        </w:rPr>
      </w:pPr>
      <w:r w:rsidRPr="007D2058">
        <w:rPr>
          <w:b/>
        </w:rPr>
        <w:tab/>
        <w:t>(b)</w:t>
      </w:r>
      <w:r w:rsidRPr="007D2058">
        <w:rPr>
          <w:b/>
        </w:rPr>
        <w:tab/>
      </w:r>
      <w:r w:rsidR="00003F55" w:rsidRPr="007D2058">
        <w:rPr>
          <w:b/>
        </w:rPr>
        <w:t>e</w:t>
      </w:r>
      <w:r w:rsidR="00382B72" w:rsidRPr="007D2058">
        <w:rPr>
          <w:b/>
        </w:rPr>
        <w:t>nsure early diagnosis and early treatment</w:t>
      </w:r>
      <w:r w:rsidR="006A762B" w:rsidRPr="007D2058">
        <w:rPr>
          <w:b/>
        </w:rPr>
        <w:t xml:space="preserve"> </w:t>
      </w:r>
      <w:r w:rsidR="0051494F" w:rsidRPr="007D2058">
        <w:rPr>
          <w:b/>
        </w:rPr>
        <w:t>of</w:t>
      </w:r>
      <w:r w:rsidR="006A762B" w:rsidRPr="007D2058">
        <w:rPr>
          <w:b/>
        </w:rPr>
        <w:t xml:space="preserve"> HIV/AIDS-infected mothers and their infants</w:t>
      </w:r>
      <w:r w:rsidR="00EE531F" w:rsidRPr="007D2058">
        <w:rPr>
          <w:b/>
        </w:rPr>
        <w:t>;</w:t>
      </w:r>
    </w:p>
    <w:p w:rsidR="00382B72" w:rsidRPr="007D2058" w:rsidRDefault="004C42CF" w:rsidP="007D2058">
      <w:pPr>
        <w:pStyle w:val="SingleTxtG"/>
        <w:rPr>
          <w:b/>
        </w:rPr>
      </w:pPr>
      <w:r w:rsidRPr="007D2058">
        <w:rPr>
          <w:b/>
        </w:rPr>
        <w:tab/>
        <w:t>(c)</w:t>
      </w:r>
      <w:r w:rsidRPr="007D2058">
        <w:rPr>
          <w:b/>
        </w:rPr>
        <w:tab/>
      </w:r>
      <w:r w:rsidR="00003F55" w:rsidRPr="007D2058">
        <w:rPr>
          <w:b/>
        </w:rPr>
        <w:t>i</w:t>
      </w:r>
      <w:r w:rsidR="00382B72" w:rsidRPr="007D2058">
        <w:rPr>
          <w:b/>
        </w:rPr>
        <w:t xml:space="preserve">mprove access to quality, age-appropriate HIV/AIDS, sexual and reproductive health services; </w:t>
      </w:r>
    </w:p>
    <w:p w:rsidR="00EA3440" w:rsidRPr="007D2058" w:rsidRDefault="004C42CF" w:rsidP="007D2058">
      <w:pPr>
        <w:pStyle w:val="SingleTxtG"/>
        <w:rPr>
          <w:b/>
        </w:rPr>
      </w:pPr>
      <w:r w:rsidRPr="007D2058">
        <w:rPr>
          <w:b/>
        </w:rPr>
        <w:tab/>
        <w:t>(d)</w:t>
      </w:r>
      <w:r w:rsidRPr="007D2058">
        <w:rPr>
          <w:b/>
        </w:rPr>
        <w:tab/>
      </w:r>
      <w:r w:rsidR="00A737C9" w:rsidRPr="007D2058">
        <w:rPr>
          <w:b/>
        </w:rPr>
        <w:t>i</w:t>
      </w:r>
      <w:r w:rsidR="00382B72" w:rsidRPr="007D2058">
        <w:rPr>
          <w:b/>
        </w:rPr>
        <w:t>mprove access and coverage of antiretroviral therapy and prophylaxis for HIV-infected pregnant women</w:t>
      </w:r>
      <w:r w:rsidR="00CC5C78" w:rsidRPr="007D2058">
        <w:rPr>
          <w:b/>
        </w:rPr>
        <w:t>;</w:t>
      </w:r>
    </w:p>
    <w:p w:rsidR="00CC5C78" w:rsidRPr="007D2058" w:rsidRDefault="004C42CF" w:rsidP="007D2058">
      <w:pPr>
        <w:pStyle w:val="SingleTxtG"/>
        <w:rPr>
          <w:b/>
        </w:rPr>
      </w:pPr>
      <w:r w:rsidRPr="007D2058">
        <w:rPr>
          <w:b/>
        </w:rPr>
        <w:tab/>
        <w:t>(e)</w:t>
      </w:r>
      <w:r w:rsidRPr="007D2058">
        <w:rPr>
          <w:b/>
        </w:rPr>
        <w:tab/>
      </w:r>
      <w:r w:rsidR="00A737C9" w:rsidRPr="007D2058">
        <w:rPr>
          <w:b/>
        </w:rPr>
        <w:t>i</w:t>
      </w:r>
      <w:r w:rsidR="00EA3440" w:rsidRPr="007D2058">
        <w:rPr>
          <w:b/>
        </w:rPr>
        <w:t>ntensify information and awareness campaigns on HIV/AIDS</w:t>
      </w:r>
      <w:r w:rsidR="00CC5C78" w:rsidRPr="007D2058">
        <w:rPr>
          <w:b/>
        </w:rPr>
        <w:t>, as well as create support groups and community-based rehabilitation programmes</w:t>
      </w:r>
      <w:r w:rsidR="00EA3440" w:rsidRPr="007D2058">
        <w:rPr>
          <w:b/>
        </w:rPr>
        <w:t>, aimed at adolescents</w:t>
      </w:r>
      <w:r w:rsidR="00041708" w:rsidRPr="007D2058">
        <w:rPr>
          <w:b/>
        </w:rPr>
        <w:t xml:space="preserve"> and their parents</w:t>
      </w:r>
      <w:r w:rsidR="00EA3440" w:rsidRPr="007D2058">
        <w:rPr>
          <w:b/>
        </w:rPr>
        <w:t xml:space="preserve"> as well as at the general public</w:t>
      </w:r>
      <w:r w:rsidR="00CC5C78" w:rsidRPr="007D2058">
        <w:rPr>
          <w:b/>
        </w:rPr>
        <w:t xml:space="preserve">, especially in rural areas near the border </w:t>
      </w:r>
      <w:r w:rsidR="00887197" w:rsidRPr="007D2058">
        <w:rPr>
          <w:b/>
        </w:rPr>
        <w:t>with Afghanistan and Uzbekistan; and</w:t>
      </w:r>
    </w:p>
    <w:p w:rsidR="00382B72" w:rsidRPr="00817F7A" w:rsidRDefault="004C42CF" w:rsidP="007D2058">
      <w:pPr>
        <w:pStyle w:val="SingleTxtG"/>
      </w:pPr>
      <w:r w:rsidRPr="007D2058">
        <w:rPr>
          <w:b/>
        </w:rPr>
        <w:tab/>
        <w:t>(f)</w:t>
      </w:r>
      <w:r w:rsidRPr="007D2058">
        <w:rPr>
          <w:b/>
        </w:rPr>
        <w:tab/>
      </w:r>
      <w:r w:rsidR="00A737C9" w:rsidRPr="007D2058">
        <w:rPr>
          <w:b/>
        </w:rPr>
        <w:t>i</w:t>
      </w:r>
      <w:r w:rsidR="00CC5C78" w:rsidRPr="007D2058">
        <w:rPr>
          <w:b/>
        </w:rPr>
        <w:t xml:space="preserve">n undertaking the above, </w:t>
      </w:r>
      <w:r w:rsidR="00382B72" w:rsidRPr="007D2058">
        <w:rPr>
          <w:b/>
        </w:rPr>
        <w:t>the Committee recommends that the State party seek technical assistance from, inter alia, UNAIDS and UNICEF.</w:t>
      </w:r>
    </w:p>
    <w:p w:rsidR="000F0F0F" w:rsidRPr="007D2058" w:rsidRDefault="004C42CF" w:rsidP="007D2058">
      <w:pPr>
        <w:pStyle w:val="H23G"/>
      </w:pPr>
      <w:r>
        <w:tab/>
      </w:r>
      <w:r w:rsidRPr="007D2058">
        <w:tab/>
      </w:r>
      <w:r w:rsidR="000F0F0F" w:rsidRPr="007D2058">
        <w:t>Breastfeeding</w:t>
      </w:r>
    </w:p>
    <w:p w:rsidR="00910C5D" w:rsidRPr="007D2058" w:rsidRDefault="0008501A" w:rsidP="007D2058">
      <w:pPr>
        <w:pStyle w:val="SingleTxtG"/>
      </w:pPr>
      <w:r>
        <w:t>48.</w:t>
      </w:r>
      <w:r w:rsidR="007D2058">
        <w:tab/>
      </w:r>
      <w:r w:rsidR="006B1D08" w:rsidRPr="007D2058">
        <w:t>T</w:t>
      </w:r>
      <w:r w:rsidR="00CC5C78" w:rsidRPr="007D2058">
        <w:t xml:space="preserve">he </w:t>
      </w:r>
      <w:r w:rsidR="006B1D08" w:rsidRPr="007D2058">
        <w:t xml:space="preserve">Committee welcomes the adoption in 2009 of the </w:t>
      </w:r>
      <w:r w:rsidR="00CC5C78" w:rsidRPr="007D2058">
        <w:t>Law on Protection and Advocacy of Breastfeeding and</w:t>
      </w:r>
      <w:r w:rsidR="006B1D08" w:rsidRPr="007D2058">
        <w:t xml:space="preserve"> Baby Food Requirements, as well as the amendments to the </w:t>
      </w:r>
      <w:r w:rsidR="00CC5C78" w:rsidRPr="007D2058">
        <w:t xml:space="preserve">Law on Protection and Promotion of Breast Milk and Baby Foods in 2013 to discourage hospitals from accepting financial incentives from the formula manufacturers. </w:t>
      </w:r>
      <w:r w:rsidR="00BC1B7E" w:rsidRPr="007D2058">
        <w:t>However, the Committee expresses concern at information received regarding the decline in breastfeeding</w:t>
      </w:r>
      <w:r w:rsidR="00B325A7" w:rsidRPr="007D2058">
        <w:t>,</w:t>
      </w:r>
      <w:r w:rsidR="00BC1B7E" w:rsidRPr="007D2058">
        <w:t xml:space="preserve"> the </w:t>
      </w:r>
      <w:r w:rsidR="00AE278D" w:rsidRPr="007D2058">
        <w:t xml:space="preserve">reported </w:t>
      </w:r>
      <w:r w:rsidR="00BC1B7E" w:rsidRPr="007D2058">
        <w:t xml:space="preserve">low rate of exclusive breastfeeding under the age of 6 months and the lack of data on the nutritional status of children. Moreover, the Committee notes with concern that its </w:t>
      </w:r>
      <w:r w:rsidR="00DB7686" w:rsidRPr="007D2058">
        <w:t xml:space="preserve">previous </w:t>
      </w:r>
      <w:r w:rsidR="00BC1B7E" w:rsidRPr="007D2058">
        <w:t xml:space="preserve">recommendation </w:t>
      </w:r>
      <w:r w:rsidR="00DB7686" w:rsidRPr="007D2058">
        <w:t>(</w:t>
      </w:r>
      <w:r w:rsidR="00F6533A" w:rsidRPr="007D2058">
        <w:t>CRC/C/TKM/CO/1, para.52</w:t>
      </w:r>
      <w:r w:rsidR="00DB7686" w:rsidRPr="007D2058">
        <w:t xml:space="preserve">) </w:t>
      </w:r>
      <w:r w:rsidR="00BC1B7E" w:rsidRPr="007D2058">
        <w:t xml:space="preserve">regarding the adoption of a national law on marketing of breast-milk substitutes was not implemented. </w:t>
      </w:r>
    </w:p>
    <w:p w:rsidR="002A14F0" w:rsidRPr="007D2058" w:rsidRDefault="0008501A" w:rsidP="007D2058">
      <w:pPr>
        <w:pStyle w:val="SingleTxtG"/>
        <w:rPr>
          <w:b/>
        </w:rPr>
      </w:pPr>
      <w:r>
        <w:t>49</w:t>
      </w:r>
      <w:r w:rsidR="007D2058" w:rsidRPr="007D2058">
        <w:t>.</w:t>
      </w:r>
      <w:r w:rsidR="007D2058">
        <w:rPr>
          <w:b/>
        </w:rPr>
        <w:tab/>
      </w:r>
      <w:r w:rsidR="000F0F0F" w:rsidRPr="007D2058">
        <w:rPr>
          <w:b/>
        </w:rPr>
        <w:t>The Committee recommends that the State party</w:t>
      </w:r>
      <w:r w:rsidR="00887197" w:rsidRPr="007D2058">
        <w:rPr>
          <w:b/>
        </w:rPr>
        <w:t>:</w:t>
      </w:r>
    </w:p>
    <w:p w:rsidR="002A14F0" w:rsidRPr="007D2058" w:rsidRDefault="004C42CF" w:rsidP="007D2058">
      <w:pPr>
        <w:pStyle w:val="SingleTxtG"/>
        <w:rPr>
          <w:b/>
        </w:rPr>
      </w:pPr>
      <w:r w:rsidRPr="007D2058">
        <w:rPr>
          <w:b/>
        </w:rPr>
        <w:tab/>
        <w:t>(a)</w:t>
      </w:r>
      <w:r w:rsidR="00EA25F7" w:rsidRPr="007D2058">
        <w:rPr>
          <w:b/>
        </w:rPr>
        <w:tab/>
      </w:r>
      <w:r w:rsidR="00BC1B7E" w:rsidRPr="007D2058">
        <w:rPr>
          <w:b/>
        </w:rPr>
        <w:t>enhance its efforts to promote exclusive breastfeeding practices</w:t>
      </w:r>
      <w:r w:rsidR="002A14F0" w:rsidRPr="007D2058">
        <w:rPr>
          <w:b/>
        </w:rPr>
        <w:t>;</w:t>
      </w:r>
    </w:p>
    <w:p w:rsidR="00BC1B7E" w:rsidRPr="007D2058" w:rsidRDefault="004C42CF" w:rsidP="007D2058">
      <w:pPr>
        <w:pStyle w:val="SingleTxtG"/>
        <w:rPr>
          <w:b/>
        </w:rPr>
      </w:pPr>
      <w:r w:rsidRPr="007D2058">
        <w:rPr>
          <w:b/>
        </w:rPr>
        <w:tab/>
      </w:r>
      <w:r w:rsidR="002A14F0" w:rsidRPr="007D2058">
        <w:rPr>
          <w:b/>
        </w:rPr>
        <w:t>(b)</w:t>
      </w:r>
      <w:r w:rsidR="00EA25F7" w:rsidRPr="007D2058">
        <w:rPr>
          <w:b/>
        </w:rPr>
        <w:tab/>
      </w:r>
      <w:r w:rsidR="00BC1B7E" w:rsidRPr="007D2058">
        <w:rPr>
          <w:b/>
        </w:rPr>
        <w:t xml:space="preserve">enact legislation implementing </w:t>
      </w:r>
      <w:r w:rsidR="00DB7686" w:rsidRPr="007D2058">
        <w:rPr>
          <w:b/>
        </w:rPr>
        <w:t xml:space="preserve">all </w:t>
      </w:r>
      <w:r w:rsidR="00DB3556">
        <w:rPr>
          <w:b/>
        </w:rPr>
        <w:t>the provisions of the International Code of Marketing of Breast-Milk S</w:t>
      </w:r>
      <w:r w:rsidR="00BC1B7E" w:rsidRPr="007D2058">
        <w:rPr>
          <w:b/>
        </w:rPr>
        <w:t>ubstitutes</w:t>
      </w:r>
      <w:r w:rsidR="002A14F0" w:rsidRPr="007D2058">
        <w:rPr>
          <w:b/>
        </w:rPr>
        <w:t>;</w:t>
      </w:r>
    </w:p>
    <w:p w:rsidR="002A14F0" w:rsidRPr="007D2058" w:rsidRDefault="004C42CF" w:rsidP="007D2058">
      <w:pPr>
        <w:pStyle w:val="SingleTxtG"/>
        <w:rPr>
          <w:b/>
        </w:rPr>
      </w:pPr>
      <w:r w:rsidRPr="007D2058">
        <w:rPr>
          <w:b/>
        </w:rPr>
        <w:tab/>
        <w:t>(c)</w:t>
      </w:r>
      <w:r w:rsidR="00EA25F7" w:rsidRPr="007D2058">
        <w:rPr>
          <w:b/>
        </w:rPr>
        <w:tab/>
      </w:r>
      <w:r w:rsidR="00323B22" w:rsidRPr="007D2058">
        <w:rPr>
          <w:b/>
        </w:rPr>
        <w:t xml:space="preserve">raise awareness about optimal breastfeeding practices among the population; </w:t>
      </w:r>
    </w:p>
    <w:p w:rsidR="004138FA" w:rsidRPr="007D2058" w:rsidRDefault="004C42CF" w:rsidP="007D2058">
      <w:pPr>
        <w:pStyle w:val="SingleTxtG"/>
        <w:rPr>
          <w:b/>
        </w:rPr>
      </w:pPr>
      <w:r w:rsidRPr="007D2058">
        <w:rPr>
          <w:b/>
        </w:rPr>
        <w:tab/>
        <w:t>(d)</w:t>
      </w:r>
      <w:r w:rsidR="00EA25F7" w:rsidRPr="007D2058">
        <w:rPr>
          <w:b/>
        </w:rPr>
        <w:tab/>
      </w:r>
      <w:r w:rsidR="00323B22" w:rsidRPr="007D2058">
        <w:rPr>
          <w:b/>
        </w:rPr>
        <w:t xml:space="preserve">ensure systematic collection of data on infant and young child feeding; </w:t>
      </w:r>
      <w:r w:rsidR="004138FA" w:rsidRPr="007D2058">
        <w:rPr>
          <w:b/>
        </w:rPr>
        <w:t>and</w:t>
      </w:r>
    </w:p>
    <w:p w:rsidR="00DB7686" w:rsidRPr="00817F7A" w:rsidRDefault="004C42CF" w:rsidP="000F687A">
      <w:pPr>
        <w:pStyle w:val="SingleTxtG"/>
        <w:rPr>
          <w:b/>
        </w:rPr>
      </w:pPr>
      <w:r>
        <w:rPr>
          <w:b/>
        </w:rPr>
        <w:tab/>
        <w:t>(e)</w:t>
      </w:r>
      <w:r w:rsidR="004138FA" w:rsidRPr="00B10F04">
        <w:rPr>
          <w:b/>
        </w:rPr>
        <w:tab/>
        <w:t>e</w:t>
      </w:r>
      <w:r w:rsidR="00DB7686" w:rsidRPr="00C374A4">
        <w:rPr>
          <w:b/>
        </w:rPr>
        <w:t>nsur</w:t>
      </w:r>
      <w:r w:rsidR="004138FA" w:rsidRPr="00B10F04">
        <w:rPr>
          <w:b/>
        </w:rPr>
        <w:t>e</w:t>
      </w:r>
      <w:r w:rsidR="00DB7686" w:rsidRPr="00C374A4">
        <w:rPr>
          <w:b/>
        </w:rPr>
        <w:t xml:space="preserve"> that working mothers have </w:t>
      </w:r>
      <w:r w:rsidR="00DB7686" w:rsidRPr="005C3A47">
        <w:rPr>
          <w:b/>
        </w:rPr>
        <w:t xml:space="preserve">the </w:t>
      </w:r>
      <w:r w:rsidR="00023290">
        <w:rPr>
          <w:b/>
        </w:rPr>
        <w:t xml:space="preserve">practical </w:t>
      </w:r>
      <w:r w:rsidR="00DB7686" w:rsidRPr="005C3A47">
        <w:rPr>
          <w:b/>
        </w:rPr>
        <w:t xml:space="preserve">possibility </w:t>
      </w:r>
      <w:r w:rsidR="00055D3D" w:rsidRPr="00B10F04">
        <w:rPr>
          <w:b/>
        </w:rPr>
        <w:t>to breastfeed</w:t>
      </w:r>
      <w:r w:rsidR="00717241" w:rsidRPr="00B10F04">
        <w:rPr>
          <w:b/>
        </w:rPr>
        <w:t>, i</w:t>
      </w:r>
      <w:r w:rsidR="00AA5466" w:rsidRPr="00C374A4">
        <w:rPr>
          <w:b/>
        </w:rPr>
        <w:t>ncluding</w:t>
      </w:r>
      <w:r w:rsidR="00AA5466" w:rsidRPr="005C3A47">
        <w:rPr>
          <w:b/>
        </w:rPr>
        <w:t xml:space="preserve"> by developing breastfeeding-friendly workplaces and child care centres at work.</w:t>
      </w:r>
    </w:p>
    <w:p w:rsidR="00114373" w:rsidRPr="00887197" w:rsidRDefault="004C42CF" w:rsidP="004C42CF">
      <w:pPr>
        <w:pStyle w:val="H23G"/>
      </w:pPr>
      <w:r>
        <w:lastRenderedPageBreak/>
        <w:tab/>
      </w:r>
      <w:r>
        <w:tab/>
      </w:r>
      <w:r w:rsidR="00114373" w:rsidRPr="00887197">
        <w:t>Impact of climate change on the rights of the child</w:t>
      </w:r>
    </w:p>
    <w:p w:rsidR="002A14F0" w:rsidRPr="007D2058" w:rsidRDefault="0008501A" w:rsidP="007D2058">
      <w:pPr>
        <w:pStyle w:val="SingleTxtG"/>
      </w:pPr>
      <w:r>
        <w:t>50</w:t>
      </w:r>
      <w:r w:rsidR="007D2058">
        <w:t>.</w:t>
      </w:r>
      <w:r w:rsidR="007D2058">
        <w:tab/>
      </w:r>
      <w:r w:rsidR="00065EF7" w:rsidRPr="007D2058">
        <w:t>While welcoming information on the 12 percent decrease in the child morbidity in Dashoguz area</w:t>
      </w:r>
      <w:r w:rsidR="006912A9">
        <w:t>, the</w:t>
      </w:r>
      <w:r w:rsidR="009F4CF5" w:rsidRPr="007D2058">
        <w:t xml:space="preserve"> Committee </w:t>
      </w:r>
      <w:r w:rsidR="00065EF7" w:rsidRPr="007D2058">
        <w:t>remains</w:t>
      </w:r>
      <w:r w:rsidR="009F4CF5" w:rsidRPr="007D2058">
        <w:t xml:space="preserve"> concerned at the damaging effects of the Aral Sea crisis on children living in nearby areas and the </w:t>
      </w:r>
      <w:r w:rsidR="00C676F9" w:rsidRPr="007D2058">
        <w:t xml:space="preserve">reports of </w:t>
      </w:r>
      <w:r w:rsidR="009F4CF5" w:rsidRPr="007D2058">
        <w:t xml:space="preserve">high infant and maternal </w:t>
      </w:r>
      <w:r w:rsidR="00817F7A" w:rsidRPr="007D2058">
        <w:t xml:space="preserve">mortality rates </w:t>
      </w:r>
      <w:r w:rsidR="006912A9">
        <w:t>as well as</w:t>
      </w:r>
      <w:r w:rsidR="00817F7A" w:rsidRPr="007D2058">
        <w:t xml:space="preserve"> high rates of deaths due to cancer, which are </w:t>
      </w:r>
      <w:r w:rsidR="009F4CF5" w:rsidRPr="007D2058">
        <w:t>attributed to the environmental pollution</w:t>
      </w:r>
      <w:r w:rsidR="00817F7A" w:rsidRPr="007D2058">
        <w:t>, in particular</w:t>
      </w:r>
      <w:r w:rsidR="009F4CF5" w:rsidRPr="007D2058">
        <w:t xml:space="preserve"> in Dashoguz region.</w:t>
      </w:r>
    </w:p>
    <w:p w:rsidR="00817F7A" w:rsidRPr="007D2058" w:rsidRDefault="007D2058" w:rsidP="007D2058">
      <w:pPr>
        <w:pStyle w:val="SingleTxtG"/>
        <w:rPr>
          <w:b/>
        </w:rPr>
      </w:pPr>
      <w:r w:rsidRPr="007D2058">
        <w:t>5</w:t>
      </w:r>
      <w:r w:rsidR="0008501A">
        <w:t>1</w:t>
      </w:r>
      <w:r w:rsidRPr="007D2058">
        <w:t>.</w:t>
      </w:r>
      <w:r>
        <w:rPr>
          <w:b/>
        </w:rPr>
        <w:tab/>
      </w:r>
      <w:r w:rsidR="009F4CF5" w:rsidRPr="007D2058">
        <w:rPr>
          <w:b/>
        </w:rPr>
        <w:t xml:space="preserve">The Committee </w:t>
      </w:r>
      <w:r w:rsidR="00817F7A" w:rsidRPr="007D2058">
        <w:rPr>
          <w:b/>
        </w:rPr>
        <w:t xml:space="preserve">urges </w:t>
      </w:r>
      <w:r w:rsidR="009F4CF5" w:rsidRPr="007D2058">
        <w:rPr>
          <w:b/>
        </w:rPr>
        <w:t xml:space="preserve">the State party </w:t>
      </w:r>
      <w:r w:rsidR="00817F7A" w:rsidRPr="007D2058">
        <w:rPr>
          <w:b/>
        </w:rPr>
        <w:t xml:space="preserve">to promptly assess the health situation </w:t>
      </w:r>
      <w:r w:rsidR="009F4CF5" w:rsidRPr="007D2058">
        <w:rPr>
          <w:b/>
        </w:rPr>
        <w:t>of children living in the Aral Sea area, in</w:t>
      </w:r>
      <w:r w:rsidR="00817F7A" w:rsidRPr="007D2058">
        <w:rPr>
          <w:b/>
        </w:rPr>
        <w:t xml:space="preserve"> particular in </w:t>
      </w:r>
      <w:r w:rsidR="009F4CF5" w:rsidRPr="007D2058">
        <w:rPr>
          <w:b/>
        </w:rPr>
        <w:t>Dashoguz region</w:t>
      </w:r>
      <w:r w:rsidR="00817F7A" w:rsidRPr="007D2058">
        <w:rPr>
          <w:b/>
        </w:rPr>
        <w:t xml:space="preserve">, with a view to ensuring the prompt provision of necessary health services to all children with emphasis on the development of primary health care. The Committee further urges the State </w:t>
      </w:r>
      <w:r w:rsidR="00F6065C" w:rsidRPr="007D2058">
        <w:rPr>
          <w:b/>
        </w:rPr>
        <w:t>party to</w:t>
      </w:r>
      <w:r w:rsidR="00817F7A" w:rsidRPr="007D2058">
        <w:rPr>
          <w:b/>
        </w:rPr>
        <w:t xml:space="preserve"> </w:t>
      </w:r>
      <w:r w:rsidR="00C676F9" w:rsidRPr="007D2058">
        <w:rPr>
          <w:b/>
        </w:rPr>
        <w:t xml:space="preserve">continue </w:t>
      </w:r>
      <w:r w:rsidR="009F4CF5" w:rsidRPr="007D2058">
        <w:rPr>
          <w:b/>
        </w:rPr>
        <w:t>address</w:t>
      </w:r>
      <w:r w:rsidR="00C676F9" w:rsidRPr="007D2058">
        <w:rPr>
          <w:b/>
        </w:rPr>
        <w:t>ing</w:t>
      </w:r>
      <w:r w:rsidR="009F4CF5" w:rsidRPr="007D2058">
        <w:rPr>
          <w:b/>
        </w:rPr>
        <w:t xml:space="preserve"> the </w:t>
      </w:r>
      <w:r w:rsidR="00817F7A" w:rsidRPr="007D2058">
        <w:rPr>
          <w:b/>
        </w:rPr>
        <w:t>issue of infant and maternal mortality and the rates of death due to cancer.</w:t>
      </w:r>
    </w:p>
    <w:p w:rsidR="00910C5D" w:rsidRDefault="004C42CF" w:rsidP="004C42CF">
      <w:pPr>
        <w:pStyle w:val="H23G"/>
        <w:rPr>
          <w:rFonts w:eastAsia="Malgun Gothic"/>
          <w:lang w:eastAsia="zh-CN"/>
        </w:rPr>
      </w:pPr>
      <w:r>
        <w:rPr>
          <w:rFonts w:eastAsia="Malgun Gothic"/>
          <w:lang w:eastAsia="zh-CN"/>
        </w:rPr>
        <w:tab/>
      </w:r>
      <w:r>
        <w:rPr>
          <w:rFonts w:eastAsia="Malgun Gothic"/>
          <w:lang w:eastAsia="zh-CN"/>
        </w:rPr>
        <w:tab/>
      </w:r>
      <w:r w:rsidR="00910C5D" w:rsidRPr="000F687A">
        <w:rPr>
          <w:rFonts w:eastAsia="Malgun Gothic"/>
          <w:lang w:eastAsia="zh-CN"/>
        </w:rPr>
        <w:t>Standard of living</w:t>
      </w:r>
    </w:p>
    <w:p w:rsidR="002C15D8" w:rsidRPr="007D2058" w:rsidRDefault="007D2058" w:rsidP="007D2058">
      <w:pPr>
        <w:pStyle w:val="SingleTxtG"/>
      </w:pPr>
      <w:r>
        <w:t>5</w:t>
      </w:r>
      <w:r w:rsidR="0008501A">
        <w:t>2</w:t>
      </w:r>
      <w:r>
        <w:t>.</w:t>
      </w:r>
      <w:r>
        <w:tab/>
      </w:r>
      <w:r w:rsidR="00F65E19" w:rsidRPr="007D2058">
        <w:t>While t</w:t>
      </w:r>
      <w:r w:rsidR="002C15D8" w:rsidRPr="007D2058">
        <w:t xml:space="preserve">he Committee notes the efforts </w:t>
      </w:r>
      <w:r w:rsidR="00A9043C" w:rsidRPr="007D2058">
        <w:t>undertaken in the State party</w:t>
      </w:r>
      <w:r w:rsidR="002C15D8" w:rsidRPr="007D2058">
        <w:t xml:space="preserve"> with regard to improvement of the quality of </w:t>
      </w:r>
      <w:r w:rsidR="00280162">
        <w:t>safe drinking</w:t>
      </w:r>
      <w:r w:rsidR="002C15D8" w:rsidRPr="007D2058">
        <w:t xml:space="preserve"> water</w:t>
      </w:r>
      <w:r w:rsidR="00F65E19" w:rsidRPr="007D2058">
        <w:t>, it remains concerned</w:t>
      </w:r>
      <w:r w:rsidR="002C15D8" w:rsidRPr="007D2058">
        <w:t xml:space="preserve"> </w:t>
      </w:r>
      <w:r w:rsidR="00F65E19" w:rsidRPr="007D2058">
        <w:t xml:space="preserve">that access to potable water and </w:t>
      </w:r>
      <w:r w:rsidR="00736403" w:rsidRPr="007D2058">
        <w:t xml:space="preserve">adequate </w:t>
      </w:r>
      <w:r w:rsidR="00F65E19" w:rsidRPr="007D2058">
        <w:t>sanitary conditions is still a serious problem, in particular in rural areas.</w:t>
      </w:r>
      <w:r w:rsidR="000F5DA6" w:rsidRPr="007D2058">
        <w:t xml:space="preserve"> </w:t>
      </w:r>
    </w:p>
    <w:p w:rsidR="00A90806" w:rsidRPr="007D2058" w:rsidRDefault="007D2058" w:rsidP="007D2058">
      <w:pPr>
        <w:pStyle w:val="SingleTxtG"/>
        <w:rPr>
          <w:b/>
        </w:rPr>
      </w:pPr>
      <w:r w:rsidRPr="007D2058">
        <w:t>5</w:t>
      </w:r>
      <w:r w:rsidR="0008501A">
        <w:t>3</w:t>
      </w:r>
      <w:r w:rsidRPr="007D2058">
        <w:t>.</w:t>
      </w:r>
      <w:r>
        <w:rPr>
          <w:b/>
        </w:rPr>
        <w:tab/>
      </w:r>
      <w:r w:rsidR="00910C5D" w:rsidRPr="007D2058">
        <w:rPr>
          <w:b/>
        </w:rPr>
        <w:t>The Committee recommends that the State party</w:t>
      </w:r>
      <w:r w:rsidR="009569BB" w:rsidRPr="007D2058">
        <w:rPr>
          <w:b/>
        </w:rPr>
        <w:t xml:space="preserve"> i</w:t>
      </w:r>
      <w:r w:rsidR="00A90806" w:rsidRPr="007D2058">
        <w:rPr>
          <w:b/>
        </w:rPr>
        <w:t>ncrease its effort</w:t>
      </w:r>
      <w:r w:rsidR="00A737C9" w:rsidRPr="007D2058">
        <w:rPr>
          <w:b/>
        </w:rPr>
        <w:t>s</w:t>
      </w:r>
      <w:r w:rsidR="00A90806" w:rsidRPr="007D2058">
        <w:rPr>
          <w:b/>
        </w:rPr>
        <w:t xml:space="preserve"> to provide adequate sanitation and access to </w:t>
      </w:r>
      <w:r w:rsidR="006912A9">
        <w:rPr>
          <w:b/>
        </w:rPr>
        <w:t>safe drinking</w:t>
      </w:r>
      <w:r w:rsidR="00A90806" w:rsidRPr="007D2058">
        <w:rPr>
          <w:b/>
        </w:rPr>
        <w:t xml:space="preserve"> water throughout the country, in particular in rural areas.</w:t>
      </w:r>
    </w:p>
    <w:p w:rsidR="00404B0A" w:rsidRPr="00404B0A" w:rsidRDefault="00404B0A" w:rsidP="00404B0A">
      <w:pPr>
        <w:pStyle w:val="H1G"/>
        <w:rPr>
          <w:rFonts w:eastAsia="Malgun Gothic"/>
          <w:lang w:eastAsia="zh-CN"/>
        </w:rPr>
      </w:pPr>
      <w:r w:rsidRPr="00404B0A">
        <w:rPr>
          <w:rFonts w:eastAsia="Malgun Gothic"/>
          <w:lang w:eastAsia="zh-CN"/>
        </w:rPr>
        <w:tab/>
      </w:r>
      <w:r w:rsidR="004B145D">
        <w:rPr>
          <w:rFonts w:eastAsia="Malgun Gothic"/>
          <w:lang w:eastAsia="zh-CN"/>
        </w:rPr>
        <w:t>G</w:t>
      </w:r>
      <w:r w:rsidRPr="00404B0A">
        <w:rPr>
          <w:rFonts w:eastAsia="Malgun Gothic"/>
          <w:lang w:eastAsia="zh-CN"/>
        </w:rPr>
        <w:t>.</w:t>
      </w:r>
      <w:r>
        <w:rPr>
          <w:rFonts w:eastAsia="Malgun Gothic"/>
          <w:lang w:eastAsia="zh-CN"/>
        </w:rPr>
        <w:tab/>
      </w:r>
      <w:r w:rsidRPr="00404B0A">
        <w:rPr>
          <w:rFonts w:eastAsia="Malgun Gothic"/>
          <w:lang w:eastAsia="zh-CN"/>
        </w:rPr>
        <w:t>Education, leisure and cultural activities (arts. 28, 29, 30 and 31)</w:t>
      </w:r>
    </w:p>
    <w:p w:rsidR="00910C5D" w:rsidRPr="00910C5D" w:rsidRDefault="004C42CF" w:rsidP="004C42CF">
      <w:pPr>
        <w:pStyle w:val="H23G"/>
      </w:pPr>
      <w:r>
        <w:tab/>
      </w:r>
      <w:r>
        <w:tab/>
      </w:r>
      <w:r w:rsidR="00910C5D" w:rsidRPr="00356EAE">
        <w:t>Education, including vocational training and guidance</w:t>
      </w:r>
    </w:p>
    <w:p w:rsidR="00910C5D" w:rsidRPr="007D2058" w:rsidRDefault="007D2058" w:rsidP="007D2058">
      <w:pPr>
        <w:pStyle w:val="SingleTxtG"/>
      </w:pPr>
      <w:r>
        <w:t>5</w:t>
      </w:r>
      <w:r w:rsidR="0008501A">
        <w:t>4</w:t>
      </w:r>
      <w:r>
        <w:t>.</w:t>
      </w:r>
      <w:r>
        <w:tab/>
      </w:r>
      <w:r w:rsidR="000F0F0F" w:rsidRPr="007D2058">
        <w:t>The Committee</w:t>
      </w:r>
      <w:r w:rsidR="009C7692" w:rsidRPr="007D2058">
        <w:t xml:space="preserve"> notes with appreciation that since 2007 the State party has implemented reforms to improve the standards of education, which included, inter alia, the increase of salaries of education sector by 40 percent, the revision of the Law on Education to reduce class sizes to a maximum of 25 and the increase of </w:t>
      </w:r>
      <w:r w:rsidR="00E20418" w:rsidRPr="007D2058">
        <w:t xml:space="preserve">the duration of </w:t>
      </w:r>
      <w:r w:rsidR="009C7692" w:rsidRPr="007D2058">
        <w:t>compulsory education to twelve years</w:t>
      </w:r>
      <w:r w:rsidR="00BA3E52" w:rsidRPr="007D2058">
        <w:t xml:space="preserve">. The Committee welcomes that involvement of children in cotton-harvesting has been forbidden since 2005, </w:t>
      </w:r>
      <w:r w:rsidR="009F1C76" w:rsidRPr="007D2058">
        <w:t>but remains concerned a</w:t>
      </w:r>
      <w:r w:rsidR="00E52C66" w:rsidRPr="007D2058">
        <w:t>t reports of</w:t>
      </w:r>
      <w:r w:rsidR="009F1C76" w:rsidRPr="007D2058">
        <w:t xml:space="preserve"> </w:t>
      </w:r>
      <w:r w:rsidR="003D5974" w:rsidRPr="007D2058">
        <w:t xml:space="preserve">the </w:t>
      </w:r>
      <w:r w:rsidR="009F1C76" w:rsidRPr="007D2058">
        <w:t>persistence of this practice in rural areas</w:t>
      </w:r>
      <w:r w:rsidR="00E52C66" w:rsidRPr="007D2058">
        <w:t>, which conflicts with children’s education</w:t>
      </w:r>
      <w:r w:rsidR="009F1C76" w:rsidRPr="007D2058">
        <w:t>.</w:t>
      </w:r>
      <w:r w:rsidR="000F5DA6" w:rsidRPr="007D2058">
        <w:t xml:space="preserve"> </w:t>
      </w:r>
      <w:r w:rsidR="009F1C76" w:rsidRPr="007D2058">
        <w:t>T</w:t>
      </w:r>
      <w:r w:rsidR="009C7692" w:rsidRPr="007D2058">
        <w:t xml:space="preserve">he Committee is </w:t>
      </w:r>
      <w:r w:rsidR="009F1C76" w:rsidRPr="007D2058">
        <w:t xml:space="preserve">also </w:t>
      </w:r>
      <w:r w:rsidR="009C7692" w:rsidRPr="007D2058">
        <w:t>concerned at:</w:t>
      </w:r>
    </w:p>
    <w:p w:rsidR="009C7692" w:rsidRPr="007D2058" w:rsidRDefault="004C42CF" w:rsidP="007D2058">
      <w:pPr>
        <w:pStyle w:val="SingleTxtG"/>
      </w:pPr>
      <w:r w:rsidRPr="007D2058">
        <w:tab/>
        <w:t>(a)</w:t>
      </w:r>
      <w:r w:rsidRPr="007D2058">
        <w:tab/>
      </w:r>
      <w:r w:rsidR="00A737C9" w:rsidRPr="007D2058">
        <w:t>t</w:t>
      </w:r>
      <w:r w:rsidR="009C7692" w:rsidRPr="007D2058">
        <w:t xml:space="preserve">he lack of </w:t>
      </w:r>
      <w:r w:rsidR="00BA3E52" w:rsidRPr="007D2058">
        <w:t>disaggregated</w:t>
      </w:r>
      <w:r w:rsidR="009C7692" w:rsidRPr="007D2058">
        <w:t xml:space="preserve"> data to permit in-depth analysis </w:t>
      </w:r>
      <w:r w:rsidR="0051494F" w:rsidRPr="007D2058">
        <w:t xml:space="preserve">to </w:t>
      </w:r>
      <w:r w:rsidR="009C7692" w:rsidRPr="007D2058">
        <w:t>measure the progress</w:t>
      </w:r>
      <w:r w:rsidR="00E20418" w:rsidRPr="007D2058">
        <w:t xml:space="preserve"> in the implementation of the provisions of the Convention </w:t>
      </w:r>
      <w:r w:rsidR="00ED436C" w:rsidRPr="007D2058">
        <w:t>concerning</w:t>
      </w:r>
      <w:r w:rsidR="00E20418" w:rsidRPr="007D2058">
        <w:t xml:space="preserve"> education</w:t>
      </w:r>
      <w:r w:rsidR="000F687A" w:rsidRPr="007D2058">
        <w:t>;</w:t>
      </w:r>
    </w:p>
    <w:p w:rsidR="009C7692" w:rsidRPr="007D2058" w:rsidRDefault="004C42CF" w:rsidP="007D2058">
      <w:pPr>
        <w:pStyle w:val="SingleTxtG"/>
      </w:pPr>
      <w:r w:rsidRPr="007D2058">
        <w:tab/>
        <w:t>(b)</w:t>
      </w:r>
      <w:r w:rsidRPr="007D2058">
        <w:tab/>
      </w:r>
      <w:r w:rsidR="00A737C9" w:rsidRPr="007D2058">
        <w:t>t</w:t>
      </w:r>
      <w:r w:rsidR="00BA3E52" w:rsidRPr="007D2058">
        <w:t xml:space="preserve">he </w:t>
      </w:r>
      <w:r w:rsidR="00323B22" w:rsidRPr="007D2058">
        <w:t>insufficient o</w:t>
      </w:r>
      <w:r w:rsidR="00BA3E52" w:rsidRPr="007D2058">
        <w:t xml:space="preserve">pportunities for children belonging to national minorities, in particular Kazakh and Uzbek, to </w:t>
      </w:r>
      <w:r w:rsidR="00323B22" w:rsidRPr="007D2058">
        <w:t>study</w:t>
      </w:r>
      <w:r w:rsidR="00BA3E52" w:rsidRPr="007D2058">
        <w:t xml:space="preserve"> their languages;</w:t>
      </w:r>
      <w:r w:rsidR="003D5974" w:rsidRPr="007D2058">
        <w:t xml:space="preserve"> and</w:t>
      </w:r>
    </w:p>
    <w:p w:rsidR="00BA3E52" w:rsidRPr="007D2058" w:rsidRDefault="004C42CF" w:rsidP="007D2058">
      <w:pPr>
        <w:pStyle w:val="SingleTxtG"/>
      </w:pPr>
      <w:r w:rsidRPr="007D2058">
        <w:tab/>
        <w:t>(c)</w:t>
      </w:r>
      <w:r w:rsidRPr="007D2058">
        <w:tab/>
      </w:r>
      <w:r w:rsidR="00A737C9" w:rsidRPr="007D2058">
        <w:t>t</w:t>
      </w:r>
      <w:r w:rsidR="00BA3E52" w:rsidRPr="007D2058">
        <w:t>he continued practice of mass mobilization of school children and students for various festive events, such as events to welcome the president on his trips and time-consuming rehearsals for that purpose</w:t>
      </w:r>
      <w:r w:rsidR="000F687A" w:rsidRPr="007D2058">
        <w:t>.</w:t>
      </w:r>
    </w:p>
    <w:p w:rsidR="00A47ED6" w:rsidRPr="007D2058" w:rsidRDefault="007D2058" w:rsidP="007D2058">
      <w:pPr>
        <w:pStyle w:val="SingleTxtG"/>
        <w:rPr>
          <w:b/>
        </w:rPr>
      </w:pPr>
      <w:r w:rsidRPr="007D2058">
        <w:t>5</w:t>
      </w:r>
      <w:r w:rsidR="0008501A">
        <w:t>5</w:t>
      </w:r>
      <w:r w:rsidRPr="007D2058">
        <w:t>.</w:t>
      </w:r>
      <w:r>
        <w:rPr>
          <w:b/>
        </w:rPr>
        <w:tab/>
      </w:r>
      <w:r w:rsidR="00ED436C" w:rsidRPr="007D2058">
        <w:rPr>
          <w:b/>
        </w:rPr>
        <w:t>Taking into account the Committee’s General comment No. 1 on the aims of education (2001), t</w:t>
      </w:r>
      <w:r w:rsidR="00A47ED6" w:rsidRPr="007D2058">
        <w:rPr>
          <w:b/>
        </w:rPr>
        <w:t xml:space="preserve">he Committee </w:t>
      </w:r>
      <w:r w:rsidR="006259B5" w:rsidRPr="007D2058">
        <w:rPr>
          <w:b/>
        </w:rPr>
        <w:t>recommends that the State party</w:t>
      </w:r>
      <w:r w:rsidR="00A47ED6" w:rsidRPr="007D2058">
        <w:rPr>
          <w:b/>
        </w:rPr>
        <w:t xml:space="preserve"> take all necessary measures to ensure that articles 28 and 29 of the Convention are fully implemented, and</w:t>
      </w:r>
      <w:r w:rsidR="006259B5" w:rsidRPr="007D2058">
        <w:rPr>
          <w:b/>
        </w:rPr>
        <w:t>,</w:t>
      </w:r>
      <w:r w:rsidR="00A47ED6" w:rsidRPr="007D2058">
        <w:rPr>
          <w:b/>
        </w:rPr>
        <w:t xml:space="preserve"> in particular:</w:t>
      </w:r>
    </w:p>
    <w:p w:rsidR="00964EF4" w:rsidRDefault="004C42CF" w:rsidP="00A737C9">
      <w:pPr>
        <w:pStyle w:val="SingleTxtG"/>
        <w:rPr>
          <w:b/>
        </w:rPr>
      </w:pPr>
      <w:r>
        <w:rPr>
          <w:b/>
        </w:rPr>
        <w:tab/>
        <w:t>(a)</w:t>
      </w:r>
      <w:r>
        <w:rPr>
          <w:b/>
        </w:rPr>
        <w:tab/>
      </w:r>
      <w:r w:rsidR="00964EF4">
        <w:rPr>
          <w:b/>
        </w:rPr>
        <w:t xml:space="preserve">ensure that </w:t>
      </w:r>
      <w:r w:rsidR="00A47ED6">
        <w:rPr>
          <w:b/>
        </w:rPr>
        <w:t xml:space="preserve">the prohibition of children labour in cotton harvesting </w:t>
      </w:r>
      <w:r w:rsidR="00964EF4">
        <w:rPr>
          <w:b/>
        </w:rPr>
        <w:t xml:space="preserve">is effectively </w:t>
      </w:r>
      <w:r w:rsidR="00A737C9">
        <w:rPr>
          <w:b/>
        </w:rPr>
        <w:t xml:space="preserve">monitored and </w:t>
      </w:r>
      <w:r w:rsidR="00964EF4">
        <w:rPr>
          <w:b/>
        </w:rPr>
        <w:t>implemented</w:t>
      </w:r>
      <w:r w:rsidR="00964EF4" w:rsidRPr="00A737C9">
        <w:rPr>
          <w:b/>
        </w:rPr>
        <w:t xml:space="preserve">, </w:t>
      </w:r>
      <w:r w:rsidR="00964EF4" w:rsidRPr="00964EF4">
        <w:rPr>
          <w:b/>
        </w:rPr>
        <w:t xml:space="preserve">with particular emphasis </w:t>
      </w:r>
      <w:r w:rsidR="003D5974">
        <w:rPr>
          <w:b/>
        </w:rPr>
        <w:t>i</w:t>
      </w:r>
      <w:r w:rsidR="00964EF4" w:rsidRPr="00964EF4">
        <w:rPr>
          <w:b/>
        </w:rPr>
        <w:t>n rural areas</w:t>
      </w:r>
      <w:r w:rsidR="00964EF4">
        <w:rPr>
          <w:b/>
        </w:rPr>
        <w:t>;</w:t>
      </w:r>
    </w:p>
    <w:p w:rsidR="00964EF4" w:rsidRDefault="004C42CF" w:rsidP="00A737C9">
      <w:pPr>
        <w:pStyle w:val="SingleTxtG"/>
        <w:rPr>
          <w:b/>
        </w:rPr>
      </w:pPr>
      <w:r>
        <w:rPr>
          <w:b/>
        </w:rPr>
        <w:lastRenderedPageBreak/>
        <w:tab/>
        <w:t>(b)</w:t>
      </w:r>
      <w:r>
        <w:rPr>
          <w:b/>
        </w:rPr>
        <w:tab/>
      </w:r>
      <w:r w:rsidR="00A47ED6" w:rsidRPr="00A47ED6">
        <w:rPr>
          <w:b/>
        </w:rPr>
        <w:t>improve the quality of education, including by</w:t>
      </w:r>
      <w:r w:rsidR="00964EF4">
        <w:rPr>
          <w:b/>
        </w:rPr>
        <w:t xml:space="preserve"> </w:t>
      </w:r>
      <w:r w:rsidR="00290DB1">
        <w:rPr>
          <w:b/>
        </w:rPr>
        <w:t xml:space="preserve">further enhancing the status of teachers and </w:t>
      </w:r>
      <w:r w:rsidR="00964EF4">
        <w:rPr>
          <w:b/>
        </w:rPr>
        <w:t>reviewing</w:t>
      </w:r>
      <w:r w:rsidR="00A47ED6" w:rsidRPr="00A47ED6">
        <w:rPr>
          <w:b/>
        </w:rPr>
        <w:t xml:space="preserve"> school curricula</w:t>
      </w:r>
      <w:r w:rsidR="00964EF4" w:rsidRPr="00964EF4">
        <w:rPr>
          <w:b/>
        </w:rPr>
        <w:t xml:space="preserve"> </w:t>
      </w:r>
      <w:r w:rsidR="00964EF4">
        <w:rPr>
          <w:b/>
        </w:rPr>
        <w:t xml:space="preserve">and </w:t>
      </w:r>
      <w:r w:rsidR="00964EF4" w:rsidRPr="00A47ED6">
        <w:rPr>
          <w:b/>
        </w:rPr>
        <w:t>in</w:t>
      </w:r>
      <w:r w:rsidR="00290DB1">
        <w:rPr>
          <w:b/>
        </w:rPr>
        <w:t xml:space="preserve">corporating </w:t>
      </w:r>
      <w:r w:rsidR="00964EF4">
        <w:rPr>
          <w:b/>
        </w:rPr>
        <w:t>therein</w:t>
      </w:r>
      <w:r w:rsidR="00964EF4" w:rsidRPr="00A47ED6">
        <w:rPr>
          <w:b/>
        </w:rPr>
        <w:t xml:space="preserve"> human rights in general, and the rig</w:t>
      </w:r>
      <w:r w:rsidR="00964EF4">
        <w:rPr>
          <w:b/>
        </w:rPr>
        <w:t>hts of the child in particular;</w:t>
      </w:r>
    </w:p>
    <w:p w:rsidR="00A47ED6" w:rsidRPr="00A47ED6" w:rsidRDefault="004C42CF" w:rsidP="00A737C9">
      <w:pPr>
        <w:pStyle w:val="SingleTxtG"/>
        <w:rPr>
          <w:b/>
        </w:rPr>
      </w:pPr>
      <w:r>
        <w:rPr>
          <w:b/>
        </w:rPr>
        <w:tab/>
        <w:t>(c)</w:t>
      </w:r>
      <w:r>
        <w:rPr>
          <w:b/>
        </w:rPr>
        <w:tab/>
      </w:r>
      <w:r w:rsidR="00964EF4">
        <w:rPr>
          <w:b/>
        </w:rPr>
        <w:t>e</w:t>
      </w:r>
      <w:r w:rsidR="00A47ED6">
        <w:rPr>
          <w:b/>
        </w:rPr>
        <w:t>nsure the availability</w:t>
      </w:r>
      <w:r w:rsidR="00323B22">
        <w:rPr>
          <w:b/>
        </w:rPr>
        <w:t xml:space="preserve"> </w:t>
      </w:r>
      <w:r w:rsidR="00A47ED6">
        <w:rPr>
          <w:b/>
        </w:rPr>
        <w:t xml:space="preserve">of language classes for </w:t>
      </w:r>
      <w:r w:rsidR="00323B22">
        <w:rPr>
          <w:b/>
        </w:rPr>
        <w:t xml:space="preserve">children of </w:t>
      </w:r>
      <w:r w:rsidR="00B325A7" w:rsidRPr="00E62C09">
        <w:rPr>
          <w:b/>
        </w:rPr>
        <w:t>national</w:t>
      </w:r>
      <w:r w:rsidR="00323B22">
        <w:rPr>
          <w:b/>
        </w:rPr>
        <w:t xml:space="preserve"> minorities</w:t>
      </w:r>
      <w:r w:rsidR="004E1CA3">
        <w:rPr>
          <w:b/>
        </w:rPr>
        <w:t xml:space="preserve">; </w:t>
      </w:r>
    </w:p>
    <w:p w:rsidR="00964EF4" w:rsidRDefault="004C42CF" w:rsidP="00A737C9">
      <w:pPr>
        <w:pStyle w:val="SingleTxtG"/>
        <w:rPr>
          <w:b/>
        </w:rPr>
      </w:pPr>
      <w:r>
        <w:rPr>
          <w:b/>
        </w:rPr>
        <w:tab/>
      </w:r>
      <w:r w:rsidR="00A737C9">
        <w:rPr>
          <w:b/>
        </w:rPr>
        <w:t>(d)</w:t>
      </w:r>
      <w:r>
        <w:rPr>
          <w:b/>
        </w:rPr>
        <w:tab/>
      </w:r>
      <w:r w:rsidR="00ED436C">
        <w:rPr>
          <w:b/>
        </w:rPr>
        <w:t>put an end</w:t>
      </w:r>
      <w:r w:rsidR="00964EF4">
        <w:rPr>
          <w:b/>
        </w:rPr>
        <w:t xml:space="preserve"> </w:t>
      </w:r>
      <w:r w:rsidR="00ED436C">
        <w:rPr>
          <w:b/>
        </w:rPr>
        <w:t xml:space="preserve">to </w:t>
      </w:r>
      <w:r w:rsidR="00964EF4">
        <w:rPr>
          <w:b/>
        </w:rPr>
        <w:t xml:space="preserve">the </w:t>
      </w:r>
      <w:r w:rsidR="00A47ED6">
        <w:rPr>
          <w:b/>
        </w:rPr>
        <w:t xml:space="preserve">practice of mass </w:t>
      </w:r>
      <w:r w:rsidR="00964EF4">
        <w:rPr>
          <w:b/>
        </w:rPr>
        <w:t>mobilization</w:t>
      </w:r>
      <w:r w:rsidR="00A47ED6">
        <w:rPr>
          <w:b/>
        </w:rPr>
        <w:t xml:space="preserve"> of school </w:t>
      </w:r>
      <w:r w:rsidR="00964EF4">
        <w:rPr>
          <w:b/>
        </w:rPr>
        <w:t>children</w:t>
      </w:r>
      <w:r w:rsidR="00A47ED6">
        <w:rPr>
          <w:b/>
        </w:rPr>
        <w:t xml:space="preserve"> and </w:t>
      </w:r>
      <w:r w:rsidR="00964EF4">
        <w:rPr>
          <w:b/>
        </w:rPr>
        <w:t>students for festive events;</w:t>
      </w:r>
      <w:r w:rsidR="00A737C9">
        <w:rPr>
          <w:b/>
        </w:rPr>
        <w:t xml:space="preserve"> and</w:t>
      </w:r>
    </w:p>
    <w:p w:rsidR="00A47ED6" w:rsidRDefault="004C42CF" w:rsidP="00A737C9">
      <w:pPr>
        <w:pStyle w:val="SingleTxtG"/>
        <w:rPr>
          <w:b/>
        </w:rPr>
      </w:pPr>
      <w:r>
        <w:rPr>
          <w:b/>
        </w:rPr>
        <w:tab/>
        <w:t>(e)</w:t>
      </w:r>
      <w:r>
        <w:rPr>
          <w:b/>
        </w:rPr>
        <w:tab/>
      </w:r>
      <w:r w:rsidR="003D5974">
        <w:rPr>
          <w:b/>
        </w:rPr>
        <w:t>s</w:t>
      </w:r>
      <w:r w:rsidR="00A47ED6" w:rsidRPr="00A47ED6">
        <w:rPr>
          <w:b/>
        </w:rPr>
        <w:t xml:space="preserve">eek further assistance from, </w:t>
      </w:r>
      <w:r w:rsidR="00A47ED6" w:rsidRPr="00A737C9">
        <w:rPr>
          <w:b/>
          <w:i/>
        </w:rPr>
        <w:t>inter alia</w:t>
      </w:r>
      <w:r w:rsidR="00A47ED6" w:rsidRPr="00A47ED6">
        <w:rPr>
          <w:b/>
        </w:rPr>
        <w:t>, UNICEF and UNESCO.</w:t>
      </w:r>
    </w:p>
    <w:p w:rsidR="009D153C" w:rsidRPr="00553408" w:rsidRDefault="009D153C" w:rsidP="004C42CF">
      <w:pPr>
        <w:pStyle w:val="H1G"/>
      </w:pPr>
      <w:r>
        <w:tab/>
      </w:r>
      <w:r w:rsidR="004B145D">
        <w:t>H</w:t>
      </w:r>
      <w:r>
        <w:t>.</w:t>
      </w:r>
      <w:r>
        <w:tab/>
      </w:r>
      <w:r w:rsidRPr="00553408">
        <w:t>Special protection measures (arts. 22, 30, 32-33, 35-36, 37 (b)-(d), 38, 39 and 40)</w:t>
      </w:r>
    </w:p>
    <w:p w:rsidR="000F0F0F" w:rsidRPr="004C42CF" w:rsidRDefault="0083469C" w:rsidP="004C42CF">
      <w:pPr>
        <w:pStyle w:val="H23G"/>
        <w:rPr>
          <w:rFonts w:eastAsia="Calibri"/>
        </w:rPr>
      </w:pPr>
      <w:r w:rsidRPr="00EF4C80">
        <w:rPr>
          <w:rFonts w:eastAsia="Malgun Gothic"/>
          <w:lang w:eastAsia="zh-CN"/>
        </w:rPr>
        <w:tab/>
      </w:r>
      <w:r w:rsidRPr="00EF4C80">
        <w:rPr>
          <w:rFonts w:eastAsia="Malgun Gothic"/>
          <w:lang w:eastAsia="zh-CN"/>
        </w:rPr>
        <w:tab/>
      </w:r>
      <w:r w:rsidR="00223E83">
        <w:rPr>
          <w:rFonts w:eastAsia="Malgun Gothic"/>
          <w:lang w:eastAsia="zh-CN"/>
        </w:rPr>
        <w:t xml:space="preserve">Administration </w:t>
      </w:r>
      <w:r w:rsidR="009C5A1D">
        <w:rPr>
          <w:rFonts w:eastAsia="Malgun Gothic"/>
          <w:lang w:eastAsia="zh-CN"/>
        </w:rPr>
        <w:t xml:space="preserve">of </w:t>
      </w:r>
      <w:r w:rsidR="009C5A1D">
        <w:rPr>
          <w:rFonts w:eastAsia="Calibri"/>
        </w:rPr>
        <w:t>j</w:t>
      </w:r>
      <w:r w:rsidR="00601C5A" w:rsidRPr="004C42CF">
        <w:rPr>
          <w:rFonts w:eastAsia="Calibri"/>
        </w:rPr>
        <w:t xml:space="preserve">uvenile </w:t>
      </w:r>
      <w:r w:rsidR="009C5A1D">
        <w:rPr>
          <w:rFonts w:eastAsia="Calibri"/>
        </w:rPr>
        <w:t>j</w:t>
      </w:r>
      <w:r w:rsidR="00601C5A" w:rsidRPr="004C42CF">
        <w:rPr>
          <w:rFonts w:eastAsia="Calibri"/>
        </w:rPr>
        <w:t>ustice</w:t>
      </w:r>
    </w:p>
    <w:p w:rsidR="00601C5A" w:rsidRPr="00373742" w:rsidRDefault="00373742" w:rsidP="00373742">
      <w:pPr>
        <w:pStyle w:val="SingleTxtG"/>
        <w:rPr>
          <w:rFonts w:eastAsia="Malgun Gothic"/>
        </w:rPr>
      </w:pPr>
      <w:r>
        <w:t>5</w:t>
      </w:r>
      <w:r w:rsidR="0008501A">
        <w:t>6</w:t>
      </w:r>
      <w:r>
        <w:t>.</w:t>
      </w:r>
      <w:r>
        <w:tab/>
      </w:r>
      <w:r w:rsidR="0051494F" w:rsidRPr="00373742">
        <w:t xml:space="preserve">While welcoming the State party’s efforts to develop a Juvenile Justice system, the Committee remains concerned that the current reform has a limited scope and does not include all the </w:t>
      </w:r>
      <w:r w:rsidR="00E820C1" w:rsidRPr="00373742">
        <w:t xml:space="preserve">elements </w:t>
      </w:r>
      <w:r w:rsidR="0051494F" w:rsidRPr="00373742">
        <w:t>of juvenile justice</w:t>
      </w:r>
      <w:r w:rsidR="006C065A" w:rsidRPr="00373742">
        <w:t xml:space="preserve"> </w:t>
      </w:r>
      <w:r w:rsidR="0048320D" w:rsidRPr="00373742">
        <w:t xml:space="preserve">and, in particular, provisions for diversion mechanisms and efficient alternatives to the formal justice system. </w:t>
      </w:r>
    </w:p>
    <w:p w:rsidR="00DB4020" w:rsidRPr="00373742" w:rsidRDefault="00373742" w:rsidP="00373742">
      <w:pPr>
        <w:pStyle w:val="SingleTxtG"/>
        <w:rPr>
          <w:rFonts w:eastAsia="Malgun Gothic"/>
          <w:b/>
        </w:rPr>
      </w:pPr>
      <w:r w:rsidRPr="00373742">
        <w:rPr>
          <w:rFonts w:eastAsia="Malgun Gothic"/>
        </w:rPr>
        <w:t>5</w:t>
      </w:r>
      <w:r w:rsidR="0008501A">
        <w:rPr>
          <w:rFonts w:eastAsia="Malgun Gothic"/>
        </w:rPr>
        <w:t>7</w:t>
      </w:r>
      <w:r w:rsidRPr="00373742">
        <w:rPr>
          <w:rFonts w:eastAsia="Malgun Gothic"/>
        </w:rPr>
        <w:t>.</w:t>
      </w:r>
      <w:r>
        <w:rPr>
          <w:rFonts w:eastAsia="Malgun Gothic"/>
          <w:b/>
        </w:rPr>
        <w:tab/>
      </w:r>
      <w:r w:rsidR="00F63484" w:rsidRPr="00373742">
        <w:rPr>
          <w:rFonts w:eastAsia="Malgun Gothic"/>
          <w:b/>
        </w:rPr>
        <w:t>In the light of its General comment No. 10 (2007) on children’s rights in juvenile justice, t</w:t>
      </w:r>
      <w:r w:rsidR="00DB4020" w:rsidRPr="00373742">
        <w:rPr>
          <w:rFonts w:eastAsia="Malgun Gothic"/>
          <w:b/>
        </w:rPr>
        <w:t>he Committee urges the Sta</w:t>
      </w:r>
      <w:r w:rsidR="00356EAE" w:rsidRPr="00373742">
        <w:rPr>
          <w:rFonts w:eastAsia="Malgun Gothic"/>
          <w:b/>
        </w:rPr>
        <w:t>te party to bring its Juvenile Justice system fully in</w:t>
      </w:r>
      <w:r w:rsidR="00DB4020" w:rsidRPr="00373742">
        <w:rPr>
          <w:rFonts w:eastAsia="Malgun Gothic"/>
          <w:b/>
        </w:rPr>
        <w:t xml:space="preserve"> line with the Convention</w:t>
      </w:r>
      <w:r w:rsidR="00F63484" w:rsidRPr="00373742">
        <w:rPr>
          <w:rFonts w:eastAsia="Malgun Gothic"/>
          <w:b/>
        </w:rPr>
        <w:t xml:space="preserve"> and</w:t>
      </w:r>
      <w:r w:rsidR="00DB4020" w:rsidRPr="00373742">
        <w:rPr>
          <w:rFonts w:eastAsia="Malgun Gothic"/>
          <w:b/>
        </w:rPr>
        <w:t xml:space="preserve"> other relevant standards. In particular, the Committee urges the State party</w:t>
      </w:r>
      <w:r w:rsidR="00356EAE" w:rsidRPr="00373742">
        <w:rPr>
          <w:rFonts w:eastAsia="Malgun Gothic"/>
          <w:b/>
        </w:rPr>
        <w:t xml:space="preserve"> to</w:t>
      </w:r>
      <w:r w:rsidR="00DB4020" w:rsidRPr="00373742">
        <w:rPr>
          <w:rFonts w:eastAsia="Malgun Gothic"/>
          <w:b/>
        </w:rPr>
        <w:t>:</w:t>
      </w:r>
    </w:p>
    <w:p w:rsidR="00DB4020" w:rsidRPr="00373742" w:rsidRDefault="004C42CF" w:rsidP="00373742">
      <w:pPr>
        <w:pStyle w:val="SingleTxtG"/>
        <w:rPr>
          <w:b/>
        </w:rPr>
      </w:pPr>
      <w:r w:rsidRPr="00373742">
        <w:rPr>
          <w:b/>
        </w:rPr>
        <w:tab/>
        <w:t>(a)</w:t>
      </w:r>
      <w:r w:rsidRPr="00373742">
        <w:rPr>
          <w:b/>
        </w:rPr>
        <w:tab/>
      </w:r>
      <w:r w:rsidR="00D1501F" w:rsidRPr="00373742">
        <w:rPr>
          <w:b/>
        </w:rPr>
        <w:t>e</w:t>
      </w:r>
      <w:r w:rsidR="00DB4020" w:rsidRPr="00373742">
        <w:rPr>
          <w:b/>
        </w:rPr>
        <w:t>xpeditiously establish specialized juvenile court facilities and procedures with adequate human, technical and financial resources, designate specialized judges for children and ensure that such specialized judges receive appropriate education and training;</w:t>
      </w:r>
    </w:p>
    <w:p w:rsidR="00DB4020" w:rsidRPr="00373742" w:rsidRDefault="004C42CF" w:rsidP="00373742">
      <w:pPr>
        <w:pStyle w:val="SingleTxtG"/>
        <w:rPr>
          <w:b/>
        </w:rPr>
      </w:pPr>
      <w:r w:rsidRPr="00373742">
        <w:rPr>
          <w:b/>
        </w:rPr>
        <w:tab/>
        <w:t>(b)</w:t>
      </w:r>
      <w:r w:rsidRPr="00373742">
        <w:rPr>
          <w:b/>
        </w:rPr>
        <w:tab/>
      </w:r>
      <w:r w:rsidR="00D1501F" w:rsidRPr="00373742">
        <w:rPr>
          <w:b/>
        </w:rPr>
        <w:t>e</w:t>
      </w:r>
      <w:r w:rsidR="00DB4020" w:rsidRPr="00373742">
        <w:rPr>
          <w:b/>
        </w:rPr>
        <w:t>nsure the provision of qualified and independent legal aid to children in conflict with the law at an early stage of the procedure and throughout the legal proceedings;</w:t>
      </w:r>
    </w:p>
    <w:p w:rsidR="00DB4020" w:rsidRPr="00373742" w:rsidRDefault="004C42CF" w:rsidP="00373742">
      <w:pPr>
        <w:pStyle w:val="SingleTxtG"/>
        <w:rPr>
          <w:b/>
        </w:rPr>
      </w:pPr>
      <w:r w:rsidRPr="00373742">
        <w:rPr>
          <w:b/>
        </w:rPr>
        <w:tab/>
        <w:t>(c)</w:t>
      </w:r>
      <w:r w:rsidRPr="00373742">
        <w:rPr>
          <w:b/>
        </w:rPr>
        <w:tab/>
      </w:r>
      <w:r w:rsidR="00D1501F" w:rsidRPr="00373742">
        <w:rPr>
          <w:b/>
        </w:rPr>
        <w:t>p</w:t>
      </w:r>
      <w:r w:rsidR="00DB4020" w:rsidRPr="00373742">
        <w:rPr>
          <w:b/>
        </w:rPr>
        <w:t xml:space="preserve">romote alternative measures to detention, such as diversion, probation, mediation, counselling, or community service, wherever possible, and ensure that detention is used as a </w:t>
      </w:r>
      <w:r w:rsidR="00B66B93" w:rsidRPr="00373742">
        <w:rPr>
          <w:b/>
        </w:rPr>
        <w:t xml:space="preserve">measure of </w:t>
      </w:r>
      <w:r w:rsidR="00DB4020" w:rsidRPr="00373742">
        <w:rPr>
          <w:b/>
        </w:rPr>
        <w:t xml:space="preserve">last resort and for the shortest possible period of time and that it is reviewed on a regular basis with a view to withdrawing it; </w:t>
      </w:r>
    </w:p>
    <w:p w:rsidR="00B66B93" w:rsidRPr="00373742" w:rsidRDefault="004C42CF" w:rsidP="00373742">
      <w:pPr>
        <w:pStyle w:val="SingleTxtG"/>
        <w:rPr>
          <w:b/>
        </w:rPr>
      </w:pPr>
      <w:r w:rsidRPr="00373742">
        <w:rPr>
          <w:b/>
        </w:rPr>
        <w:tab/>
        <w:t>(d)</w:t>
      </w:r>
      <w:r w:rsidRPr="00373742">
        <w:rPr>
          <w:b/>
        </w:rPr>
        <w:tab/>
      </w:r>
      <w:r w:rsidR="00D1501F" w:rsidRPr="00373742">
        <w:rPr>
          <w:b/>
        </w:rPr>
        <w:t>i</w:t>
      </w:r>
      <w:r w:rsidR="00DB4020" w:rsidRPr="00373742">
        <w:rPr>
          <w:b/>
        </w:rPr>
        <w:t>n cases where detention is unavoidable, ensure that the children are not detained together with adults and that detention conditions are compliant with international standards, including with regard to access to education and health services</w:t>
      </w:r>
      <w:r w:rsidR="00B66B93" w:rsidRPr="00373742">
        <w:rPr>
          <w:b/>
        </w:rPr>
        <w:t>; and</w:t>
      </w:r>
    </w:p>
    <w:p w:rsidR="00601C5A" w:rsidRPr="00373742" w:rsidRDefault="004C42CF" w:rsidP="00373742">
      <w:pPr>
        <w:pStyle w:val="SingleTxtG"/>
        <w:rPr>
          <w:b/>
        </w:rPr>
      </w:pPr>
      <w:r w:rsidRPr="00373742">
        <w:rPr>
          <w:b/>
        </w:rPr>
        <w:tab/>
      </w:r>
      <w:r w:rsidR="00B66B93" w:rsidRPr="00373742">
        <w:rPr>
          <w:b/>
        </w:rPr>
        <w:t>(</w:t>
      </w:r>
      <w:r w:rsidR="006D41B8" w:rsidRPr="00373742">
        <w:rPr>
          <w:b/>
        </w:rPr>
        <w:t>e</w:t>
      </w:r>
      <w:r w:rsidRPr="00373742">
        <w:rPr>
          <w:b/>
        </w:rPr>
        <w:t>)</w:t>
      </w:r>
      <w:r w:rsidRPr="00373742">
        <w:rPr>
          <w:b/>
        </w:rPr>
        <w:tab/>
      </w:r>
      <w:r w:rsidR="00D1501F" w:rsidRPr="00373742">
        <w:rPr>
          <w:b/>
        </w:rPr>
        <w:t>t</w:t>
      </w:r>
      <w:r w:rsidR="00DB4020" w:rsidRPr="00373742">
        <w:rPr>
          <w:b/>
        </w:rPr>
        <w:t>o that effect, make use of the technical assistance tools developed by the Interagency Panel on Juvenile Justice a</w:t>
      </w:r>
      <w:r w:rsidR="00223E83">
        <w:rPr>
          <w:b/>
        </w:rPr>
        <w:t xml:space="preserve">nd its members, including the </w:t>
      </w:r>
      <w:r w:rsidR="00DB4020" w:rsidRPr="00373742">
        <w:rPr>
          <w:b/>
        </w:rPr>
        <w:t>UNODC, UNICEF, OHCHR and NGOs, and seek technical assistance in the area of juvenile justice from members of the Panel.</w:t>
      </w:r>
    </w:p>
    <w:p w:rsidR="008C26B6" w:rsidRPr="00D410DC" w:rsidRDefault="00021E9E" w:rsidP="00FF631F">
      <w:pPr>
        <w:pStyle w:val="H1G"/>
        <w:jc w:val="both"/>
        <w:rPr>
          <w:rFonts w:eastAsia="SimSun"/>
          <w:lang w:eastAsia="zh-CN"/>
        </w:rPr>
      </w:pPr>
      <w:r w:rsidRPr="00EF4C80">
        <w:rPr>
          <w:rFonts w:eastAsia="SimSun"/>
          <w:lang w:eastAsia="zh-CN"/>
        </w:rPr>
        <w:tab/>
      </w:r>
      <w:r w:rsidR="004B145D">
        <w:rPr>
          <w:rFonts w:eastAsia="SimSun"/>
          <w:lang w:eastAsia="zh-CN"/>
        </w:rPr>
        <w:t>I</w:t>
      </w:r>
      <w:r w:rsidR="000F0F0F" w:rsidRPr="00EF4C80">
        <w:rPr>
          <w:rFonts w:eastAsia="SimSun"/>
          <w:lang w:eastAsia="zh-CN"/>
        </w:rPr>
        <w:t>.</w:t>
      </w:r>
      <w:r w:rsidRPr="00EF4C80">
        <w:rPr>
          <w:rFonts w:eastAsia="SimSun"/>
          <w:lang w:eastAsia="zh-CN"/>
        </w:rPr>
        <w:tab/>
      </w:r>
      <w:r w:rsidR="008C26B6" w:rsidRPr="00D410DC">
        <w:rPr>
          <w:rFonts w:eastAsia="SimSun"/>
          <w:lang w:eastAsia="zh-CN"/>
        </w:rPr>
        <w:t xml:space="preserve">Ratification of </w:t>
      </w:r>
      <w:r w:rsidR="008C26B6" w:rsidRPr="00D410DC">
        <w:t>the Optional Protocol on a communications procedure</w:t>
      </w:r>
    </w:p>
    <w:p w:rsidR="008C26B6" w:rsidRPr="00373742" w:rsidRDefault="00373742" w:rsidP="00373742">
      <w:pPr>
        <w:pStyle w:val="SingleTxtG"/>
        <w:rPr>
          <w:b/>
        </w:rPr>
      </w:pPr>
      <w:r w:rsidRPr="00373742">
        <w:rPr>
          <w:rFonts w:eastAsia="Malgun Gothic"/>
        </w:rPr>
        <w:t>5</w:t>
      </w:r>
      <w:r w:rsidR="0008501A">
        <w:rPr>
          <w:rFonts w:eastAsia="Malgun Gothic"/>
        </w:rPr>
        <w:t>8</w:t>
      </w:r>
      <w:r w:rsidRPr="00373742">
        <w:rPr>
          <w:rFonts w:eastAsia="Malgun Gothic"/>
        </w:rPr>
        <w:t>.</w:t>
      </w:r>
      <w:r>
        <w:rPr>
          <w:rFonts w:eastAsia="Malgun Gothic"/>
          <w:b/>
        </w:rPr>
        <w:tab/>
      </w:r>
      <w:r w:rsidR="008C26B6" w:rsidRPr="00373742">
        <w:rPr>
          <w:rFonts w:eastAsia="Malgun Gothic"/>
          <w:b/>
        </w:rPr>
        <w:t xml:space="preserve">The Committee recommends that the State party, in order to further strengthen the fulfilment of children’s rights, ratify </w:t>
      </w:r>
      <w:r w:rsidR="008C26B6" w:rsidRPr="00373742">
        <w:rPr>
          <w:b/>
        </w:rPr>
        <w:t xml:space="preserve">the Optional Protocol </w:t>
      </w:r>
      <w:r w:rsidR="00290DB1" w:rsidRPr="00373742">
        <w:rPr>
          <w:b/>
        </w:rPr>
        <w:t>of</w:t>
      </w:r>
      <w:r w:rsidR="008C26B6" w:rsidRPr="00373742">
        <w:rPr>
          <w:b/>
        </w:rPr>
        <w:t xml:space="preserve"> the Convention on the Rights of the Child on a communications procedure.</w:t>
      </w:r>
    </w:p>
    <w:p w:rsidR="000F0F0F" w:rsidRPr="004C42CF" w:rsidRDefault="004C42CF" w:rsidP="004C42CF">
      <w:pPr>
        <w:pStyle w:val="H1G"/>
        <w:rPr>
          <w:rFonts w:eastAsia="SimSun"/>
        </w:rPr>
      </w:pPr>
      <w:r>
        <w:rPr>
          <w:rFonts w:eastAsia="SimSun"/>
        </w:rPr>
        <w:lastRenderedPageBreak/>
        <w:tab/>
      </w:r>
      <w:r w:rsidR="004B145D">
        <w:rPr>
          <w:rFonts w:eastAsia="SimSun"/>
        </w:rPr>
        <w:t>J</w:t>
      </w:r>
      <w:r>
        <w:rPr>
          <w:rFonts w:eastAsia="SimSun"/>
        </w:rPr>
        <w:t>.</w:t>
      </w:r>
      <w:r>
        <w:rPr>
          <w:rFonts w:eastAsia="SimSun"/>
        </w:rPr>
        <w:tab/>
      </w:r>
      <w:r w:rsidR="000F0F0F" w:rsidRPr="004C42CF">
        <w:rPr>
          <w:rFonts w:eastAsia="SimSun"/>
        </w:rPr>
        <w:t>Ratification of international human rights instruments</w:t>
      </w:r>
    </w:p>
    <w:p w:rsidR="000F0F0F" w:rsidRPr="00373742" w:rsidRDefault="00280162" w:rsidP="00373742">
      <w:pPr>
        <w:pStyle w:val="SingleTxtG"/>
        <w:rPr>
          <w:rFonts w:eastAsia="Malgun Gothic"/>
          <w:b/>
        </w:rPr>
      </w:pPr>
      <w:r>
        <w:rPr>
          <w:rFonts w:eastAsia="Malgun Gothic"/>
        </w:rPr>
        <w:t>5</w:t>
      </w:r>
      <w:r w:rsidR="0008501A">
        <w:rPr>
          <w:rFonts w:eastAsia="Malgun Gothic"/>
        </w:rPr>
        <w:t>9</w:t>
      </w:r>
      <w:r w:rsidR="00373742" w:rsidRPr="00373742">
        <w:rPr>
          <w:rFonts w:eastAsia="Malgun Gothic"/>
        </w:rPr>
        <w:t>.</w:t>
      </w:r>
      <w:r w:rsidR="00373742">
        <w:rPr>
          <w:rFonts w:eastAsia="Malgun Gothic"/>
          <w:b/>
        </w:rPr>
        <w:tab/>
      </w:r>
      <w:r w:rsidR="000F0F0F" w:rsidRPr="00373742">
        <w:rPr>
          <w:rFonts w:eastAsia="Malgun Gothic"/>
          <w:b/>
        </w:rPr>
        <w:t>The Committee recommends that the State party, in order to further strengthen the fulfilment of children</w:t>
      </w:r>
      <w:r w:rsidR="009D32C3" w:rsidRPr="00373742">
        <w:rPr>
          <w:rFonts w:eastAsia="Malgun Gothic"/>
          <w:b/>
        </w:rPr>
        <w:t>’</w:t>
      </w:r>
      <w:r w:rsidR="000F0F0F" w:rsidRPr="00373742">
        <w:rPr>
          <w:rFonts w:eastAsia="Malgun Gothic"/>
          <w:b/>
        </w:rPr>
        <w:t xml:space="preserve">s rights, ratify the </w:t>
      </w:r>
      <w:r w:rsidR="000F687A" w:rsidRPr="00373742">
        <w:rPr>
          <w:rFonts w:eastAsia="Malgun Gothic"/>
          <w:b/>
        </w:rPr>
        <w:t xml:space="preserve">core human rights instruments </w:t>
      </w:r>
      <w:r w:rsidR="000F0F0F" w:rsidRPr="00373742">
        <w:rPr>
          <w:rFonts w:eastAsia="Malgun Gothic"/>
          <w:b/>
        </w:rPr>
        <w:t>to which it</w:t>
      </w:r>
      <w:r w:rsidR="00702BD6" w:rsidRPr="00373742">
        <w:rPr>
          <w:rFonts w:eastAsia="Malgun Gothic"/>
          <w:b/>
        </w:rPr>
        <w:t xml:space="preserve"> is not yet a party, namely</w:t>
      </w:r>
      <w:r w:rsidR="00EB1CF4" w:rsidRPr="00373742">
        <w:rPr>
          <w:rFonts w:eastAsia="Malgun Gothic"/>
          <w:b/>
        </w:rPr>
        <w:t xml:space="preserve"> </w:t>
      </w:r>
      <w:r w:rsidR="00CB6C92" w:rsidRPr="00373742">
        <w:rPr>
          <w:rFonts w:eastAsia="Malgun Gothic"/>
          <w:b/>
        </w:rPr>
        <w:t>the International Convention on the Protection of the Rights of All Migrant Workers and Members of Their Families (CMW), the International Convention for the Protection of All Persons from Enforced Disappearance and the Optional Protocol to the Convention against Torture and other Cruel, Inhuman or Degrading Treatment or Punishment.</w:t>
      </w:r>
    </w:p>
    <w:p w:rsidR="00830F23" w:rsidRPr="004C42CF" w:rsidRDefault="00830F23" w:rsidP="004C42CF">
      <w:pPr>
        <w:pStyle w:val="HChG"/>
      </w:pPr>
      <w:r w:rsidRPr="004C42CF">
        <w:tab/>
        <w:t>I</w:t>
      </w:r>
      <w:r w:rsidR="004C42CF" w:rsidRPr="004C42CF">
        <w:t>V.</w:t>
      </w:r>
      <w:r w:rsidR="004C42CF" w:rsidRPr="004C42CF">
        <w:tab/>
        <w:t>Implementation and reporting</w:t>
      </w:r>
    </w:p>
    <w:p w:rsidR="00830F23" w:rsidRPr="00AF66A1" w:rsidRDefault="00830F23" w:rsidP="00FF631F">
      <w:pPr>
        <w:pStyle w:val="H1G"/>
        <w:jc w:val="both"/>
      </w:pPr>
      <w:r>
        <w:tab/>
        <w:t>A.</w:t>
      </w:r>
      <w:r>
        <w:tab/>
      </w:r>
      <w:r w:rsidRPr="00AF66A1">
        <w:t>Follow-up and dissemination</w:t>
      </w:r>
    </w:p>
    <w:p w:rsidR="00830F23" w:rsidRPr="00373742" w:rsidRDefault="0008501A" w:rsidP="00373742">
      <w:pPr>
        <w:pStyle w:val="SingleTxtG"/>
        <w:rPr>
          <w:rFonts w:eastAsia="Malgun Gothic"/>
          <w:b/>
        </w:rPr>
      </w:pPr>
      <w:r>
        <w:rPr>
          <w:rFonts w:eastAsia="Malgun Gothic"/>
        </w:rPr>
        <w:t>60</w:t>
      </w:r>
      <w:r w:rsidR="00373742" w:rsidRPr="00373742">
        <w:rPr>
          <w:rFonts w:eastAsia="Malgun Gothic"/>
        </w:rPr>
        <w:t>.</w:t>
      </w:r>
      <w:r w:rsidR="00373742">
        <w:rPr>
          <w:rFonts w:eastAsia="Malgun Gothic"/>
          <w:b/>
        </w:rPr>
        <w:tab/>
      </w:r>
      <w:r w:rsidR="00830F23" w:rsidRPr="00373742">
        <w:rPr>
          <w:rFonts w:eastAsia="Malgun Gothic"/>
          <w:b/>
        </w:rPr>
        <w:t>The Committee recommends that the State party take all appropriate measures to ensure that the recommendations contained in the present concluding observations are fully implemented. The Comm</w:t>
      </w:r>
      <w:r w:rsidR="00F63484" w:rsidRPr="00373742">
        <w:rPr>
          <w:rFonts w:eastAsia="Malgun Gothic"/>
          <w:b/>
        </w:rPr>
        <w:t xml:space="preserve">ittee also recommends that the </w:t>
      </w:r>
      <w:r w:rsidR="00830F23" w:rsidRPr="00373742">
        <w:rPr>
          <w:rFonts w:eastAsia="Malgun Gothic"/>
          <w:b/>
        </w:rPr>
        <w:t>combined/</w:t>
      </w:r>
      <w:r w:rsidR="00F63484" w:rsidRPr="00373742">
        <w:rPr>
          <w:rFonts w:eastAsia="Malgun Gothic"/>
          <w:b/>
        </w:rPr>
        <w:t xml:space="preserve"> second to fourth </w:t>
      </w:r>
      <w:r w:rsidR="00830F23" w:rsidRPr="00373742">
        <w:rPr>
          <w:rFonts w:eastAsia="Malgun Gothic"/>
          <w:b/>
        </w:rPr>
        <w:t>periodic report</w:t>
      </w:r>
      <w:r w:rsidR="00F63484" w:rsidRPr="00373742">
        <w:rPr>
          <w:rFonts w:eastAsia="Malgun Gothic"/>
          <w:b/>
        </w:rPr>
        <w:t>s</w:t>
      </w:r>
      <w:r w:rsidR="00830F23" w:rsidRPr="00373742">
        <w:rPr>
          <w:rFonts w:eastAsia="Malgun Gothic"/>
          <w:b/>
        </w:rPr>
        <w:t>, the written replies to the list of issues of the State party and the present concluding observations be made widely available in the languages of the country.</w:t>
      </w:r>
    </w:p>
    <w:p w:rsidR="00830F23" w:rsidRPr="00AF66A1" w:rsidRDefault="00830F23" w:rsidP="00830F23">
      <w:pPr>
        <w:pStyle w:val="H1G"/>
        <w:rPr>
          <w:rFonts w:eastAsia="Malgun Gothic"/>
          <w:lang w:eastAsia="zh-CN"/>
        </w:rPr>
      </w:pPr>
      <w:r w:rsidRPr="00AF66A1">
        <w:rPr>
          <w:rFonts w:eastAsia="Malgun Gothic"/>
          <w:lang w:eastAsia="zh-CN"/>
        </w:rPr>
        <w:tab/>
      </w:r>
      <w:r>
        <w:rPr>
          <w:rFonts w:eastAsia="Malgun Gothic"/>
          <w:lang w:eastAsia="zh-CN"/>
        </w:rPr>
        <w:t>B</w:t>
      </w:r>
      <w:r w:rsidRPr="00AF66A1">
        <w:rPr>
          <w:rFonts w:eastAsia="Malgun Gothic"/>
          <w:lang w:eastAsia="zh-CN"/>
        </w:rPr>
        <w:t>.</w:t>
      </w:r>
      <w:r w:rsidRPr="00AF66A1">
        <w:rPr>
          <w:rFonts w:eastAsia="Malgun Gothic"/>
          <w:lang w:eastAsia="zh-CN"/>
        </w:rPr>
        <w:tab/>
        <w:t xml:space="preserve">Next report </w:t>
      </w:r>
    </w:p>
    <w:p w:rsidR="00830F23" w:rsidRPr="00373742" w:rsidRDefault="00373742" w:rsidP="00373742">
      <w:pPr>
        <w:pStyle w:val="SingleTxtG"/>
        <w:rPr>
          <w:rFonts w:eastAsia="Malgun Gothic"/>
          <w:b/>
        </w:rPr>
      </w:pPr>
      <w:r w:rsidRPr="00373742">
        <w:rPr>
          <w:rFonts w:eastAsia="Malgun Gothic"/>
        </w:rPr>
        <w:t>6</w:t>
      </w:r>
      <w:r w:rsidR="0008501A">
        <w:rPr>
          <w:rFonts w:eastAsia="Malgun Gothic"/>
        </w:rPr>
        <w:t>1</w:t>
      </w:r>
      <w:r w:rsidRPr="00373742">
        <w:rPr>
          <w:rFonts w:eastAsia="Malgun Gothic"/>
        </w:rPr>
        <w:t>.</w:t>
      </w:r>
      <w:r>
        <w:rPr>
          <w:rFonts w:eastAsia="Malgun Gothic"/>
          <w:b/>
        </w:rPr>
        <w:tab/>
      </w:r>
      <w:r w:rsidR="00830F23" w:rsidRPr="00373742">
        <w:rPr>
          <w:rFonts w:eastAsia="Malgun Gothic"/>
          <w:b/>
        </w:rPr>
        <w:t>The Committee invites the State party to submit its combined</w:t>
      </w:r>
      <w:r w:rsidR="00F63484" w:rsidRPr="00373742">
        <w:rPr>
          <w:rFonts w:eastAsia="Malgun Gothic"/>
          <w:b/>
        </w:rPr>
        <w:t xml:space="preserve"> fifth and sixth</w:t>
      </w:r>
      <w:r w:rsidR="00830F23" w:rsidRPr="00373742">
        <w:rPr>
          <w:rFonts w:eastAsia="Malgun Gothic"/>
          <w:b/>
        </w:rPr>
        <w:t xml:space="preserve"> periodic report</w:t>
      </w:r>
      <w:r w:rsidR="00F63484" w:rsidRPr="00373742">
        <w:rPr>
          <w:rFonts w:eastAsia="Malgun Gothic"/>
          <w:b/>
        </w:rPr>
        <w:t xml:space="preserve">s by </w:t>
      </w:r>
      <w:r w:rsidR="008943CD" w:rsidRPr="00373742">
        <w:rPr>
          <w:rFonts w:eastAsia="Malgun Gothic"/>
          <w:b/>
        </w:rPr>
        <w:t>19 October</w:t>
      </w:r>
      <w:r w:rsidR="00F63484" w:rsidRPr="00373742">
        <w:rPr>
          <w:rFonts w:eastAsia="Malgun Gothic"/>
          <w:b/>
        </w:rPr>
        <w:t xml:space="preserve"> 2020</w:t>
      </w:r>
      <w:r w:rsidR="00830F23" w:rsidRPr="00373742">
        <w:rPr>
          <w:rFonts w:eastAsia="Malgun Gothic"/>
          <w:b/>
        </w:rPr>
        <w:t xml:space="preserve"> and to include therein information on the follow-up to the present concluding observations. The report should be in compliance with the Committee’s harmonized treaty-specific reporting guidelines adopted on 1 October 2010 (CRC/C/58/Rev.2 and Corr.1) and should not exceed 21,200 words (see General Assembly resolution 68/268, para. 16). In the event that a report exceeding the established word limit is submitted, the State party will be asked to shorten the report in accordance with the above-mentioned resolution. If the State party is not in a position to review and resubmit the report, translation thereof for the purposes of consideration by the treaty body cannot be guaranteed.</w:t>
      </w:r>
    </w:p>
    <w:p w:rsidR="00830F23" w:rsidRPr="00373742" w:rsidRDefault="00373742" w:rsidP="00373742">
      <w:pPr>
        <w:pStyle w:val="SingleTxtG"/>
        <w:rPr>
          <w:rFonts w:eastAsia="Malgun Gothic"/>
          <w:b/>
        </w:rPr>
      </w:pPr>
      <w:r w:rsidRPr="00373742">
        <w:rPr>
          <w:rFonts w:eastAsia="Malgun Gothic"/>
        </w:rPr>
        <w:t>6</w:t>
      </w:r>
      <w:r w:rsidR="0008501A">
        <w:rPr>
          <w:rFonts w:eastAsia="Malgun Gothic"/>
        </w:rPr>
        <w:t>2</w:t>
      </w:r>
      <w:r w:rsidRPr="00373742">
        <w:rPr>
          <w:rFonts w:eastAsia="Malgun Gothic"/>
        </w:rPr>
        <w:t>.</w:t>
      </w:r>
      <w:r>
        <w:rPr>
          <w:rFonts w:eastAsia="Malgun Gothic"/>
          <w:b/>
        </w:rPr>
        <w:tab/>
      </w:r>
      <w:r w:rsidR="00830F23" w:rsidRPr="00373742">
        <w:rPr>
          <w:rFonts w:eastAsia="Malgun Gothic"/>
          <w:b/>
        </w:rPr>
        <w:t xml:space="preserve">The Committee also invites the State party to submit an updated core document, not exceeding 42,400 words, in accordance with the requirements for the common core document in the harmonized guidelines on reporting under the international human rights treaties, including guidelines on a common core document and treaty-specific documents, approved at the fifth inter-committee meeting of the human rights treaty bodies in June 2006 (HRI/GEN/2/Rev.6, chap. I) and General Assembly resolution 68/268 (para. 16). </w:t>
      </w:r>
    </w:p>
    <w:p w:rsidR="00830F23" w:rsidRPr="00F313C0" w:rsidRDefault="00830F23" w:rsidP="00830F23">
      <w:pPr>
        <w:pStyle w:val="SingleTxtG"/>
        <w:spacing w:before="240" w:after="0"/>
        <w:jc w:val="center"/>
        <w:rPr>
          <w:b/>
          <w:u w:val="single"/>
          <w:lang w:val="en-US"/>
        </w:rPr>
      </w:pPr>
      <w:r>
        <w:rPr>
          <w:u w:val="single"/>
          <w:lang w:val="en-US"/>
        </w:rPr>
        <w:tab/>
      </w:r>
      <w:r>
        <w:rPr>
          <w:u w:val="single"/>
          <w:lang w:val="en-US"/>
        </w:rPr>
        <w:tab/>
      </w:r>
      <w:r>
        <w:rPr>
          <w:u w:val="single"/>
          <w:lang w:val="en-US"/>
        </w:rPr>
        <w:tab/>
      </w:r>
    </w:p>
    <w:sectPr w:rsidR="00830F23" w:rsidRPr="00F313C0" w:rsidSect="004B145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FD" w:rsidRDefault="00CD47FD"/>
  </w:endnote>
  <w:endnote w:type="continuationSeparator" w:id="0">
    <w:p w:rsidR="00CD47FD" w:rsidRDefault="00CD47FD"/>
  </w:endnote>
  <w:endnote w:type="continuationNotice" w:id="1">
    <w:p w:rsidR="00CD47FD" w:rsidRDefault="00CD4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8B" w:rsidRPr="007C5752" w:rsidRDefault="00B82A8B" w:rsidP="007C5752">
    <w:pPr>
      <w:pStyle w:val="Footer"/>
      <w:tabs>
        <w:tab w:val="right" w:pos="9638"/>
      </w:tabs>
    </w:pPr>
    <w:r w:rsidRPr="007C5752">
      <w:rPr>
        <w:b/>
        <w:sz w:val="18"/>
      </w:rPr>
      <w:fldChar w:fldCharType="begin"/>
    </w:r>
    <w:r w:rsidRPr="007C5752">
      <w:rPr>
        <w:b/>
        <w:sz w:val="18"/>
      </w:rPr>
      <w:instrText xml:space="preserve"> PAGE  \* MERGEFORMAT </w:instrText>
    </w:r>
    <w:r w:rsidRPr="007C5752">
      <w:rPr>
        <w:b/>
        <w:sz w:val="18"/>
      </w:rPr>
      <w:fldChar w:fldCharType="separate"/>
    </w:r>
    <w:r w:rsidR="003F3EB8">
      <w:rPr>
        <w:b/>
        <w:noProof/>
        <w:sz w:val="18"/>
      </w:rPr>
      <w:t>12</w:t>
    </w:r>
    <w:r w:rsidRPr="007C575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8B" w:rsidRPr="007C5752" w:rsidRDefault="00B82A8B" w:rsidP="007C5752">
    <w:pPr>
      <w:pStyle w:val="Footer"/>
      <w:tabs>
        <w:tab w:val="right" w:pos="9638"/>
      </w:tabs>
      <w:rPr>
        <w:b/>
        <w:sz w:val="18"/>
      </w:rPr>
    </w:pPr>
    <w:r>
      <w:tab/>
    </w:r>
    <w:r w:rsidRPr="007C5752">
      <w:rPr>
        <w:b/>
        <w:sz w:val="18"/>
      </w:rPr>
      <w:fldChar w:fldCharType="begin"/>
    </w:r>
    <w:r w:rsidRPr="007C5752">
      <w:rPr>
        <w:b/>
        <w:sz w:val="18"/>
      </w:rPr>
      <w:instrText xml:space="preserve"> PAGE  \* MERGEFORMAT </w:instrText>
    </w:r>
    <w:r w:rsidRPr="007C5752">
      <w:rPr>
        <w:b/>
        <w:sz w:val="18"/>
      </w:rPr>
      <w:fldChar w:fldCharType="separate"/>
    </w:r>
    <w:r w:rsidR="003F3EB8">
      <w:rPr>
        <w:b/>
        <w:noProof/>
        <w:sz w:val="18"/>
      </w:rPr>
      <w:t>13</w:t>
    </w:r>
    <w:r w:rsidRPr="007C575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8B" w:rsidRPr="007C5752" w:rsidRDefault="00094B21">
    <w:r>
      <w:rPr>
        <w:noProof/>
        <w:lang w:val="bg-BG" w:eastAsia="bg-BG"/>
      </w:rPr>
      <w:drawing>
        <wp:anchor distT="0" distB="0" distL="114300" distR="114300" simplePos="0" relativeHeight="251656192" behindDoc="0" locked="1" layoutInCell="1" allowOverlap="1">
          <wp:simplePos x="0" y="0"/>
          <wp:positionH relativeFrom="column">
            <wp:posOffset>5148580</wp:posOffset>
          </wp:positionH>
          <wp:positionV relativeFrom="paragraph">
            <wp:posOffset>-79375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FD" w:rsidRPr="000B175B" w:rsidRDefault="00CD47FD" w:rsidP="000B175B">
      <w:pPr>
        <w:tabs>
          <w:tab w:val="right" w:pos="2155"/>
        </w:tabs>
        <w:spacing w:after="80"/>
        <w:ind w:left="680"/>
        <w:rPr>
          <w:u w:val="single"/>
        </w:rPr>
      </w:pPr>
      <w:r>
        <w:rPr>
          <w:u w:val="single"/>
        </w:rPr>
        <w:tab/>
      </w:r>
    </w:p>
  </w:footnote>
  <w:footnote w:type="continuationSeparator" w:id="0">
    <w:p w:rsidR="00CD47FD" w:rsidRPr="00FC68B7" w:rsidRDefault="00CD47FD" w:rsidP="00FC68B7">
      <w:pPr>
        <w:tabs>
          <w:tab w:val="left" w:pos="2155"/>
        </w:tabs>
        <w:spacing w:after="80"/>
        <w:ind w:left="680"/>
        <w:rPr>
          <w:u w:val="single"/>
        </w:rPr>
      </w:pPr>
      <w:r>
        <w:rPr>
          <w:u w:val="single"/>
        </w:rPr>
        <w:tab/>
      </w:r>
    </w:p>
  </w:footnote>
  <w:footnote w:type="continuationNotice" w:id="1">
    <w:p w:rsidR="00CD47FD" w:rsidRDefault="00CD47FD"/>
  </w:footnote>
  <w:footnote w:id="2">
    <w:p w:rsidR="00B82A8B" w:rsidRPr="004B3C66" w:rsidRDefault="00B82A8B" w:rsidP="00710290">
      <w:pPr>
        <w:pStyle w:val="FootnoteText"/>
        <w:rPr>
          <w:lang w:val="en-US"/>
        </w:rPr>
      </w:pPr>
      <w:r>
        <w:tab/>
      </w:r>
      <w:r w:rsidRPr="004B3C66">
        <w:rPr>
          <w:rStyle w:val="FootnoteReference"/>
          <w:sz w:val="20"/>
        </w:rPr>
        <w:t>*</w:t>
      </w:r>
      <w:r>
        <w:rPr>
          <w:sz w:val="20"/>
        </w:rPr>
        <w:tab/>
      </w:r>
      <w:r w:rsidRPr="00E057FE">
        <w:t xml:space="preserve">Adopted by the Committee at </w:t>
      </w:r>
      <w:r w:rsidRPr="001B0C4F">
        <w:t>its sixty-eighth session (12-30 January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8B" w:rsidRPr="007C5752" w:rsidRDefault="004B145D">
    <w:pPr>
      <w:pStyle w:val="Header"/>
    </w:pPr>
    <w:r w:rsidRPr="004B145D">
      <w:rPr>
        <w:noProof/>
      </w:rPr>
      <w:t>CRC/C/TKM/CO/2-4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8B" w:rsidRPr="00B740E6" w:rsidRDefault="004B145D" w:rsidP="007C5752">
    <w:pPr>
      <w:pStyle w:val="Header"/>
      <w:jc w:val="right"/>
      <w:rPr>
        <w:lang w:val="fr-CH"/>
      </w:rPr>
    </w:pPr>
    <w:r w:rsidRPr="004B145D">
      <w:rPr>
        <w:noProof/>
      </w:rPr>
      <w:t>CRC/C/TKM/CO/2-4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8B" w:rsidRDefault="00B82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0615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upperLetter"/>
      <w:lvlText w:val="%1."/>
      <w:lvlJc w:val="left"/>
      <w:pPr>
        <w:tabs>
          <w:tab w:val="num" w:pos="2204"/>
        </w:tabs>
        <w:ind w:left="2204" w:hanging="360"/>
      </w:pPr>
      <w:rPr>
        <w:rFonts w:cs="Times New Roman"/>
      </w:rPr>
    </w:lvl>
  </w:abstractNum>
  <w:abstractNum w:abstractNumId="2">
    <w:nsid w:val="0174641E"/>
    <w:multiLevelType w:val="hybridMultilevel"/>
    <w:tmpl w:val="8230CC4A"/>
    <w:lvl w:ilvl="0" w:tplc="97D414C8">
      <w:start w:val="62"/>
      <w:numFmt w:val="bullet"/>
      <w:lvlText w:val="•"/>
      <w:lvlJc w:val="left"/>
      <w:pPr>
        <w:ind w:left="930" w:hanging="57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605778"/>
    <w:multiLevelType w:val="hybridMultilevel"/>
    <w:tmpl w:val="CB80787A"/>
    <w:lvl w:ilvl="0" w:tplc="603083B0">
      <w:start w:val="1"/>
      <w:numFmt w:val="lowerLetter"/>
      <w:lvlText w:val="(%1)"/>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91A4E3A"/>
    <w:multiLevelType w:val="hybridMultilevel"/>
    <w:tmpl w:val="B0A888CA"/>
    <w:lvl w:ilvl="0" w:tplc="603083B0">
      <w:start w:val="1"/>
      <w:numFmt w:val="lowerLetter"/>
      <w:lvlText w:val="(%1)"/>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23B713D"/>
    <w:multiLevelType w:val="hybridMultilevel"/>
    <w:tmpl w:val="04E06CFE"/>
    <w:lvl w:ilvl="0" w:tplc="21F03DB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F587177"/>
    <w:multiLevelType w:val="hybridMultilevel"/>
    <w:tmpl w:val="74C04504"/>
    <w:lvl w:ilvl="0" w:tplc="603083B0">
      <w:start w:val="1"/>
      <w:numFmt w:val="lowerLetter"/>
      <w:lvlText w:val="(%1)"/>
      <w:lvlJc w:val="left"/>
      <w:pPr>
        <w:ind w:left="2214" w:hanging="360"/>
      </w:pPr>
      <w:rPr>
        <w:rFonts w:ascii="Times New Roman" w:eastAsia="Times New Roman"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8">
    <w:nsid w:val="4A8F135E"/>
    <w:multiLevelType w:val="hybridMultilevel"/>
    <w:tmpl w:val="D90053E4"/>
    <w:lvl w:ilvl="0" w:tplc="E2069228">
      <w:start w:val="1"/>
      <w:numFmt w:val="decimal"/>
      <w:lvlText w:val="%1."/>
      <w:lvlJc w:val="left"/>
      <w:pPr>
        <w:ind w:left="1778"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53F80C9D"/>
    <w:multiLevelType w:val="hybridMultilevel"/>
    <w:tmpl w:val="22125F7E"/>
    <w:lvl w:ilvl="0" w:tplc="0809000F">
      <w:start w:val="1"/>
      <w:numFmt w:val="decimal"/>
      <w:lvlText w:val="%1."/>
      <w:lvlJc w:val="left"/>
      <w:pPr>
        <w:ind w:left="1495"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55CD5C6C"/>
    <w:multiLevelType w:val="hybridMultilevel"/>
    <w:tmpl w:val="6AB8B25E"/>
    <w:lvl w:ilvl="0" w:tplc="29C6F5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58811223"/>
    <w:multiLevelType w:val="hybridMultilevel"/>
    <w:tmpl w:val="E7DEEA3C"/>
    <w:lvl w:ilvl="0" w:tplc="603083B0">
      <w:start w:val="1"/>
      <w:numFmt w:val="lowerLetter"/>
      <w:lvlText w:val="(%1)"/>
      <w:lvlJc w:val="left"/>
      <w:pPr>
        <w:ind w:left="2498" w:hanging="360"/>
      </w:pPr>
      <w:rPr>
        <w:rFonts w:ascii="Times New Roman" w:eastAsia="Times New Roman" w:hAnsi="Times New Roman" w:cs="Times New Roman"/>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2">
    <w:nsid w:val="62CF5AE0"/>
    <w:multiLevelType w:val="hybridMultilevel"/>
    <w:tmpl w:val="F9FAB96C"/>
    <w:lvl w:ilvl="0" w:tplc="603083B0">
      <w:start w:val="1"/>
      <w:numFmt w:val="lowerLetter"/>
      <w:lvlText w:val="(%1)"/>
      <w:lvlJc w:val="left"/>
      <w:pPr>
        <w:ind w:left="1495" w:hanging="360"/>
      </w:pPr>
      <w:rPr>
        <w:rFonts w:ascii="Times New Roman" w:eastAsia="Times New Roman" w:hAnsi="Times New Roman" w:cs="Times New Roman"/>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B05D2D"/>
    <w:multiLevelType w:val="hybridMultilevel"/>
    <w:tmpl w:val="7EDC66B0"/>
    <w:lvl w:ilvl="0" w:tplc="E2069228">
      <w:start w:val="1"/>
      <w:numFmt w:val="decimal"/>
      <w:lvlText w:val="%1."/>
      <w:lvlJc w:val="left"/>
      <w:pPr>
        <w:ind w:left="1495"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74D02BDB"/>
    <w:multiLevelType w:val="hybridMultilevel"/>
    <w:tmpl w:val="5428D8BC"/>
    <w:lvl w:ilvl="0" w:tplc="8A08CBE8">
      <w:start w:val="1"/>
      <w:numFmt w:val="lowerLetter"/>
      <w:lvlText w:val="(%1)"/>
      <w:lvlJc w:val="righ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0A7DFD"/>
    <w:multiLevelType w:val="hybridMultilevel"/>
    <w:tmpl w:val="47B8B036"/>
    <w:lvl w:ilvl="0" w:tplc="603083B0">
      <w:start w:val="1"/>
      <w:numFmt w:val="lowerLetter"/>
      <w:lvlText w:val="(%1)"/>
      <w:lvlJc w:val="left"/>
      <w:pPr>
        <w:ind w:left="1495" w:hanging="360"/>
      </w:pPr>
      <w:rPr>
        <w:rFonts w:ascii="Times New Roman" w:eastAsia="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777B7A2A"/>
    <w:multiLevelType w:val="hybridMultilevel"/>
    <w:tmpl w:val="6C289E8E"/>
    <w:lvl w:ilvl="0" w:tplc="0296B6DA">
      <w:start w:val="1"/>
      <w:numFmt w:val="lowerLetter"/>
      <w:lvlText w:val="(%1)"/>
      <w:lvlJc w:val="left"/>
      <w:pPr>
        <w:ind w:left="2556" w:hanging="85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nsid w:val="78F46F6D"/>
    <w:multiLevelType w:val="hybridMultilevel"/>
    <w:tmpl w:val="FB5825A0"/>
    <w:lvl w:ilvl="0" w:tplc="603083B0">
      <w:start w:val="1"/>
      <w:numFmt w:val="lowerLetter"/>
      <w:lvlText w:val="(%1)"/>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9">
    <w:nsid w:val="7A683D44"/>
    <w:multiLevelType w:val="hybridMultilevel"/>
    <w:tmpl w:val="582626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7D7E26B2"/>
    <w:multiLevelType w:val="hybridMultilevel"/>
    <w:tmpl w:val="72A0F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14"/>
  </w:num>
  <w:num w:numId="4">
    <w:abstractNumId w:val="9"/>
  </w:num>
  <w:num w:numId="5">
    <w:abstractNumId w:val="20"/>
  </w:num>
  <w:num w:numId="6">
    <w:abstractNumId w:val="16"/>
  </w:num>
  <w:num w:numId="7">
    <w:abstractNumId w:val="11"/>
  </w:num>
  <w:num w:numId="8">
    <w:abstractNumId w:val="18"/>
  </w:num>
  <w:num w:numId="9">
    <w:abstractNumId w:val="7"/>
  </w:num>
  <w:num w:numId="10">
    <w:abstractNumId w:val="3"/>
  </w:num>
  <w:num w:numId="11">
    <w:abstractNumId w:val="12"/>
  </w:num>
  <w:num w:numId="12">
    <w:abstractNumId w:val="5"/>
  </w:num>
  <w:num w:numId="13">
    <w:abstractNumId w:val="15"/>
  </w:num>
  <w:num w:numId="14">
    <w:abstractNumId w:val="2"/>
  </w:num>
  <w:num w:numId="15">
    <w:abstractNumId w:val="19"/>
  </w:num>
  <w:num w:numId="16">
    <w:abstractNumId w:val="8"/>
  </w:num>
  <w:num w:numId="17">
    <w:abstractNumId w:val="0"/>
  </w:num>
  <w:num w:numId="18">
    <w:abstractNumId w:val="6"/>
  </w:num>
  <w:num w:numId="19">
    <w:abstractNumId w:val="10"/>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24"/>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CE"/>
    <w:rsid w:val="000001E4"/>
    <w:rsid w:val="00003F55"/>
    <w:rsid w:val="00004563"/>
    <w:rsid w:val="0000488C"/>
    <w:rsid w:val="00010273"/>
    <w:rsid w:val="00010840"/>
    <w:rsid w:val="00012F43"/>
    <w:rsid w:val="00012F5F"/>
    <w:rsid w:val="00015E9C"/>
    <w:rsid w:val="00016795"/>
    <w:rsid w:val="00017822"/>
    <w:rsid w:val="00020402"/>
    <w:rsid w:val="00021E3F"/>
    <w:rsid w:val="00021E9E"/>
    <w:rsid w:val="00022DFC"/>
    <w:rsid w:val="00023290"/>
    <w:rsid w:val="00023C7A"/>
    <w:rsid w:val="00027D8A"/>
    <w:rsid w:val="00030458"/>
    <w:rsid w:val="0003110D"/>
    <w:rsid w:val="00036A92"/>
    <w:rsid w:val="00037327"/>
    <w:rsid w:val="000379B1"/>
    <w:rsid w:val="00041708"/>
    <w:rsid w:val="000444B7"/>
    <w:rsid w:val="00046C0D"/>
    <w:rsid w:val="000473E7"/>
    <w:rsid w:val="000476BD"/>
    <w:rsid w:val="00050F6B"/>
    <w:rsid w:val="000544B5"/>
    <w:rsid w:val="00054DB1"/>
    <w:rsid w:val="00055D3D"/>
    <w:rsid w:val="00061F15"/>
    <w:rsid w:val="000628BE"/>
    <w:rsid w:val="000652A4"/>
    <w:rsid w:val="00065EF7"/>
    <w:rsid w:val="00066461"/>
    <w:rsid w:val="00067CA8"/>
    <w:rsid w:val="00072C8C"/>
    <w:rsid w:val="000773A2"/>
    <w:rsid w:val="000805AD"/>
    <w:rsid w:val="00081711"/>
    <w:rsid w:val="0008501A"/>
    <w:rsid w:val="000851E3"/>
    <w:rsid w:val="00085494"/>
    <w:rsid w:val="00091419"/>
    <w:rsid w:val="0009184E"/>
    <w:rsid w:val="00091F16"/>
    <w:rsid w:val="00092687"/>
    <w:rsid w:val="000931C0"/>
    <w:rsid w:val="00093B2F"/>
    <w:rsid w:val="00094B21"/>
    <w:rsid w:val="00094CC1"/>
    <w:rsid w:val="000A072C"/>
    <w:rsid w:val="000A12D4"/>
    <w:rsid w:val="000A1C48"/>
    <w:rsid w:val="000A2B2B"/>
    <w:rsid w:val="000A741C"/>
    <w:rsid w:val="000A7C54"/>
    <w:rsid w:val="000B0D2D"/>
    <w:rsid w:val="000B175B"/>
    <w:rsid w:val="000B3A0F"/>
    <w:rsid w:val="000B3B73"/>
    <w:rsid w:val="000B45CA"/>
    <w:rsid w:val="000B4CB8"/>
    <w:rsid w:val="000B5186"/>
    <w:rsid w:val="000B52C9"/>
    <w:rsid w:val="000C0497"/>
    <w:rsid w:val="000C10F6"/>
    <w:rsid w:val="000C11CF"/>
    <w:rsid w:val="000C7FB3"/>
    <w:rsid w:val="000D35EF"/>
    <w:rsid w:val="000D37C3"/>
    <w:rsid w:val="000D567C"/>
    <w:rsid w:val="000D72E5"/>
    <w:rsid w:val="000E0415"/>
    <w:rsid w:val="000E0B8F"/>
    <w:rsid w:val="000E15DE"/>
    <w:rsid w:val="000E52C9"/>
    <w:rsid w:val="000F0F0F"/>
    <w:rsid w:val="000F1CC1"/>
    <w:rsid w:val="000F5DA6"/>
    <w:rsid w:val="000F687A"/>
    <w:rsid w:val="000F6FFE"/>
    <w:rsid w:val="000F7E0A"/>
    <w:rsid w:val="001016F1"/>
    <w:rsid w:val="00103CD4"/>
    <w:rsid w:val="0010762A"/>
    <w:rsid w:val="001102D6"/>
    <w:rsid w:val="00113021"/>
    <w:rsid w:val="00114373"/>
    <w:rsid w:val="00121771"/>
    <w:rsid w:val="001250DD"/>
    <w:rsid w:val="00126007"/>
    <w:rsid w:val="0012657A"/>
    <w:rsid w:val="00126DA5"/>
    <w:rsid w:val="00130293"/>
    <w:rsid w:val="00130370"/>
    <w:rsid w:val="00130E29"/>
    <w:rsid w:val="00142FE7"/>
    <w:rsid w:val="00144154"/>
    <w:rsid w:val="00145B3E"/>
    <w:rsid w:val="00146517"/>
    <w:rsid w:val="00146D7C"/>
    <w:rsid w:val="0014754B"/>
    <w:rsid w:val="001514CE"/>
    <w:rsid w:val="00151556"/>
    <w:rsid w:val="00151E50"/>
    <w:rsid w:val="001622D3"/>
    <w:rsid w:val="0016405B"/>
    <w:rsid w:val="001640FF"/>
    <w:rsid w:val="001655F2"/>
    <w:rsid w:val="00165E4A"/>
    <w:rsid w:val="00166655"/>
    <w:rsid w:val="001668BC"/>
    <w:rsid w:val="001671C2"/>
    <w:rsid w:val="00171524"/>
    <w:rsid w:val="0017188A"/>
    <w:rsid w:val="00172EF0"/>
    <w:rsid w:val="001730A6"/>
    <w:rsid w:val="00174D06"/>
    <w:rsid w:val="00175D49"/>
    <w:rsid w:val="00177A71"/>
    <w:rsid w:val="001804C0"/>
    <w:rsid w:val="00190685"/>
    <w:rsid w:val="0019129F"/>
    <w:rsid w:val="001947D0"/>
    <w:rsid w:val="00195F91"/>
    <w:rsid w:val="00197950"/>
    <w:rsid w:val="001A67A1"/>
    <w:rsid w:val="001A70D0"/>
    <w:rsid w:val="001B098A"/>
    <w:rsid w:val="001B0C4F"/>
    <w:rsid w:val="001B4B04"/>
    <w:rsid w:val="001B63EE"/>
    <w:rsid w:val="001B659E"/>
    <w:rsid w:val="001B77AD"/>
    <w:rsid w:val="001B7F25"/>
    <w:rsid w:val="001C0676"/>
    <w:rsid w:val="001C33A7"/>
    <w:rsid w:val="001C36A5"/>
    <w:rsid w:val="001C3B1A"/>
    <w:rsid w:val="001C4E19"/>
    <w:rsid w:val="001C6663"/>
    <w:rsid w:val="001C7895"/>
    <w:rsid w:val="001C79D9"/>
    <w:rsid w:val="001D26DF"/>
    <w:rsid w:val="001D2FDC"/>
    <w:rsid w:val="001D30C4"/>
    <w:rsid w:val="001D3379"/>
    <w:rsid w:val="001D3DE1"/>
    <w:rsid w:val="001D40E2"/>
    <w:rsid w:val="001D5098"/>
    <w:rsid w:val="001D5A48"/>
    <w:rsid w:val="001D7397"/>
    <w:rsid w:val="001D74F8"/>
    <w:rsid w:val="001D7673"/>
    <w:rsid w:val="001E3807"/>
    <w:rsid w:val="001E3CD7"/>
    <w:rsid w:val="001E7C45"/>
    <w:rsid w:val="001F330D"/>
    <w:rsid w:val="00201048"/>
    <w:rsid w:val="00201F68"/>
    <w:rsid w:val="00204551"/>
    <w:rsid w:val="00204F0D"/>
    <w:rsid w:val="00205685"/>
    <w:rsid w:val="00211E0B"/>
    <w:rsid w:val="00215C4D"/>
    <w:rsid w:val="002175C0"/>
    <w:rsid w:val="00221B2B"/>
    <w:rsid w:val="00223E83"/>
    <w:rsid w:val="00232724"/>
    <w:rsid w:val="00236393"/>
    <w:rsid w:val="00237785"/>
    <w:rsid w:val="00241466"/>
    <w:rsid w:val="00242152"/>
    <w:rsid w:val="00244AF2"/>
    <w:rsid w:val="002501DE"/>
    <w:rsid w:val="0025382E"/>
    <w:rsid w:val="0025556B"/>
    <w:rsid w:val="00256405"/>
    <w:rsid w:val="002567EC"/>
    <w:rsid w:val="00256EF9"/>
    <w:rsid w:val="00256F84"/>
    <w:rsid w:val="00257A10"/>
    <w:rsid w:val="00261122"/>
    <w:rsid w:val="002615B7"/>
    <w:rsid w:val="002619D6"/>
    <w:rsid w:val="00261CD5"/>
    <w:rsid w:val="00267EFB"/>
    <w:rsid w:val="00271F0A"/>
    <w:rsid w:val="00274585"/>
    <w:rsid w:val="00274EDD"/>
    <w:rsid w:val="00280162"/>
    <w:rsid w:val="002848F8"/>
    <w:rsid w:val="00285844"/>
    <w:rsid w:val="00286B5C"/>
    <w:rsid w:val="00290DB1"/>
    <w:rsid w:val="0029343A"/>
    <w:rsid w:val="0029573A"/>
    <w:rsid w:val="00297BB9"/>
    <w:rsid w:val="002A14F0"/>
    <w:rsid w:val="002A1EB6"/>
    <w:rsid w:val="002A2900"/>
    <w:rsid w:val="002A2C1A"/>
    <w:rsid w:val="002A3159"/>
    <w:rsid w:val="002B3031"/>
    <w:rsid w:val="002C15D8"/>
    <w:rsid w:val="002C1B3A"/>
    <w:rsid w:val="002C4AA1"/>
    <w:rsid w:val="002C753F"/>
    <w:rsid w:val="002C776F"/>
    <w:rsid w:val="002D0408"/>
    <w:rsid w:val="002D0766"/>
    <w:rsid w:val="002D3114"/>
    <w:rsid w:val="002D507F"/>
    <w:rsid w:val="002E1FC0"/>
    <w:rsid w:val="002E4A85"/>
    <w:rsid w:val="002E61AA"/>
    <w:rsid w:val="002F6016"/>
    <w:rsid w:val="002F71AE"/>
    <w:rsid w:val="00300B01"/>
    <w:rsid w:val="003021B0"/>
    <w:rsid w:val="0030609C"/>
    <w:rsid w:val="00306BCA"/>
    <w:rsid w:val="003107FA"/>
    <w:rsid w:val="00313567"/>
    <w:rsid w:val="00313CA9"/>
    <w:rsid w:val="00315325"/>
    <w:rsid w:val="00315AE1"/>
    <w:rsid w:val="00317746"/>
    <w:rsid w:val="0032235F"/>
    <w:rsid w:val="003229D8"/>
    <w:rsid w:val="00322FEE"/>
    <w:rsid w:val="003235E4"/>
    <w:rsid w:val="00323B22"/>
    <w:rsid w:val="00324AB7"/>
    <w:rsid w:val="00324D36"/>
    <w:rsid w:val="00326D94"/>
    <w:rsid w:val="00327B77"/>
    <w:rsid w:val="00330BA7"/>
    <w:rsid w:val="003325A9"/>
    <w:rsid w:val="003331E5"/>
    <w:rsid w:val="003336DB"/>
    <w:rsid w:val="00333F28"/>
    <w:rsid w:val="00334678"/>
    <w:rsid w:val="00334FFC"/>
    <w:rsid w:val="00335F3B"/>
    <w:rsid w:val="00336125"/>
    <w:rsid w:val="00336BE8"/>
    <w:rsid w:val="0034023B"/>
    <w:rsid w:val="003407DC"/>
    <w:rsid w:val="003439EA"/>
    <w:rsid w:val="00344443"/>
    <w:rsid w:val="00345428"/>
    <w:rsid w:val="00345EF2"/>
    <w:rsid w:val="003469EB"/>
    <w:rsid w:val="00346C62"/>
    <w:rsid w:val="0035168A"/>
    <w:rsid w:val="0035358E"/>
    <w:rsid w:val="0035577E"/>
    <w:rsid w:val="00355C90"/>
    <w:rsid w:val="00356E30"/>
    <w:rsid w:val="00356EAE"/>
    <w:rsid w:val="00357199"/>
    <w:rsid w:val="00357AB8"/>
    <w:rsid w:val="003638B9"/>
    <w:rsid w:val="00363B14"/>
    <w:rsid w:val="00367203"/>
    <w:rsid w:val="00367986"/>
    <w:rsid w:val="00367A03"/>
    <w:rsid w:val="00373742"/>
    <w:rsid w:val="003738D0"/>
    <w:rsid w:val="00373FE3"/>
    <w:rsid w:val="0037468A"/>
    <w:rsid w:val="00374F33"/>
    <w:rsid w:val="00376816"/>
    <w:rsid w:val="0037769D"/>
    <w:rsid w:val="003807E5"/>
    <w:rsid w:val="003807F3"/>
    <w:rsid w:val="00380CA0"/>
    <w:rsid w:val="00382B72"/>
    <w:rsid w:val="00382FC9"/>
    <w:rsid w:val="00384B80"/>
    <w:rsid w:val="003909B6"/>
    <w:rsid w:val="0039277A"/>
    <w:rsid w:val="00395AE3"/>
    <w:rsid w:val="00395DD9"/>
    <w:rsid w:val="003972E0"/>
    <w:rsid w:val="00397330"/>
    <w:rsid w:val="003A04BF"/>
    <w:rsid w:val="003A5948"/>
    <w:rsid w:val="003B31AA"/>
    <w:rsid w:val="003B598F"/>
    <w:rsid w:val="003B69E8"/>
    <w:rsid w:val="003C0741"/>
    <w:rsid w:val="003C172D"/>
    <w:rsid w:val="003C2CC4"/>
    <w:rsid w:val="003D439B"/>
    <w:rsid w:val="003D4B23"/>
    <w:rsid w:val="003D5974"/>
    <w:rsid w:val="003D6805"/>
    <w:rsid w:val="003D6FEA"/>
    <w:rsid w:val="003E1230"/>
    <w:rsid w:val="003E2745"/>
    <w:rsid w:val="003E38DD"/>
    <w:rsid w:val="003E6391"/>
    <w:rsid w:val="003F3019"/>
    <w:rsid w:val="003F3EB8"/>
    <w:rsid w:val="003F5DF3"/>
    <w:rsid w:val="003F705A"/>
    <w:rsid w:val="003F7336"/>
    <w:rsid w:val="003F7645"/>
    <w:rsid w:val="00404443"/>
    <w:rsid w:val="00404B0A"/>
    <w:rsid w:val="004075E0"/>
    <w:rsid w:val="00407967"/>
    <w:rsid w:val="00410691"/>
    <w:rsid w:val="004138FA"/>
    <w:rsid w:val="0041447B"/>
    <w:rsid w:val="004147E2"/>
    <w:rsid w:val="004163F1"/>
    <w:rsid w:val="00417029"/>
    <w:rsid w:val="00424281"/>
    <w:rsid w:val="00425EBC"/>
    <w:rsid w:val="004325CB"/>
    <w:rsid w:val="0043337A"/>
    <w:rsid w:val="00442274"/>
    <w:rsid w:val="00445440"/>
    <w:rsid w:val="00446DE4"/>
    <w:rsid w:val="004512E5"/>
    <w:rsid w:val="004525B1"/>
    <w:rsid w:val="004536E8"/>
    <w:rsid w:val="004658E3"/>
    <w:rsid w:val="004669F7"/>
    <w:rsid w:val="004721EA"/>
    <w:rsid w:val="0047251D"/>
    <w:rsid w:val="00473E61"/>
    <w:rsid w:val="00473FF8"/>
    <w:rsid w:val="00475734"/>
    <w:rsid w:val="004773A0"/>
    <w:rsid w:val="00477C06"/>
    <w:rsid w:val="0048320D"/>
    <w:rsid w:val="0048532E"/>
    <w:rsid w:val="004853C1"/>
    <w:rsid w:val="004858A3"/>
    <w:rsid w:val="00485BA4"/>
    <w:rsid w:val="004909BC"/>
    <w:rsid w:val="00492E5B"/>
    <w:rsid w:val="00495E41"/>
    <w:rsid w:val="004A0A90"/>
    <w:rsid w:val="004A76D9"/>
    <w:rsid w:val="004A7CEB"/>
    <w:rsid w:val="004B145D"/>
    <w:rsid w:val="004C0EB0"/>
    <w:rsid w:val="004C1202"/>
    <w:rsid w:val="004C3712"/>
    <w:rsid w:val="004C42CF"/>
    <w:rsid w:val="004C50F5"/>
    <w:rsid w:val="004D1DAB"/>
    <w:rsid w:val="004D4B2C"/>
    <w:rsid w:val="004D5CF7"/>
    <w:rsid w:val="004E06BB"/>
    <w:rsid w:val="004E1CA3"/>
    <w:rsid w:val="004E2674"/>
    <w:rsid w:val="004E34AC"/>
    <w:rsid w:val="004E3CB5"/>
    <w:rsid w:val="004E626C"/>
    <w:rsid w:val="004E6E98"/>
    <w:rsid w:val="004F01FD"/>
    <w:rsid w:val="004F315A"/>
    <w:rsid w:val="004F405C"/>
    <w:rsid w:val="004F4CF8"/>
    <w:rsid w:val="004F7138"/>
    <w:rsid w:val="005019EA"/>
    <w:rsid w:val="00501E3C"/>
    <w:rsid w:val="00504DD7"/>
    <w:rsid w:val="0050649C"/>
    <w:rsid w:val="005066D2"/>
    <w:rsid w:val="00506C91"/>
    <w:rsid w:val="00507498"/>
    <w:rsid w:val="00507744"/>
    <w:rsid w:val="00511CEE"/>
    <w:rsid w:val="00512E70"/>
    <w:rsid w:val="00513530"/>
    <w:rsid w:val="00513749"/>
    <w:rsid w:val="0051494F"/>
    <w:rsid w:val="00515118"/>
    <w:rsid w:val="00516066"/>
    <w:rsid w:val="005205E6"/>
    <w:rsid w:val="005209A0"/>
    <w:rsid w:val="0052205A"/>
    <w:rsid w:val="005246EB"/>
    <w:rsid w:val="00524BC3"/>
    <w:rsid w:val="0052652D"/>
    <w:rsid w:val="005266E0"/>
    <w:rsid w:val="005311E5"/>
    <w:rsid w:val="00532144"/>
    <w:rsid w:val="00533821"/>
    <w:rsid w:val="00534363"/>
    <w:rsid w:val="0054021B"/>
    <w:rsid w:val="00540C2F"/>
    <w:rsid w:val="00541A1C"/>
    <w:rsid w:val="005420F2"/>
    <w:rsid w:val="00542B00"/>
    <w:rsid w:val="00542FD1"/>
    <w:rsid w:val="005506AF"/>
    <w:rsid w:val="00551418"/>
    <w:rsid w:val="00551701"/>
    <w:rsid w:val="005517A4"/>
    <w:rsid w:val="00552AC9"/>
    <w:rsid w:val="00561D7F"/>
    <w:rsid w:val="00563B51"/>
    <w:rsid w:val="0056404D"/>
    <w:rsid w:val="005640B4"/>
    <w:rsid w:val="00574E75"/>
    <w:rsid w:val="0057534D"/>
    <w:rsid w:val="00575954"/>
    <w:rsid w:val="0057736E"/>
    <w:rsid w:val="00580D9F"/>
    <w:rsid w:val="005827B7"/>
    <w:rsid w:val="005827FE"/>
    <w:rsid w:val="0058297C"/>
    <w:rsid w:val="00582E8D"/>
    <w:rsid w:val="00584627"/>
    <w:rsid w:val="00585259"/>
    <w:rsid w:val="00585664"/>
    <w:rsid w:val="0059043C"/>
    <w:rsid w:val="00590803"/>
    <w:rsid w:val="005919E3"/>
    <w:rsid w:val="00591F8A"/>
    <w:rsid w:val="00592637"/>
    <w:rsid w:val="005961A9"/>
    <w:rsid w:val="005A080A"/>
    <w:rsid w:val="005A0CA7"/>
    <w:rsid w:val="005A0F18"/>
    <w:rsid w:val="005A153C"/>
    <w:rsid w:val="005A2489"/>
    <w:rsid w:val="005A274D"/>
    <w:rsid w:val="005A3422"/>
    <w:rsid w:val="005A550D"/>
    <w:rsid w:val="005B3DB3"/>
    <w:rsid w:val="005B4B17"/>
    <w:rsid w:val="005B5F5D"/>
    <w:rsid w:val="005B776F"/>
    <w:rsid w:val="005B7B63"/>
    <w:rsid w:val="005C0081"/>
    <w:rsid w:val="005C0ECD"/>
    <w:rsid w:val="005C33CE"/>
    <w:rsid w:val="005C3A47"/>
    <w:rsid w:val="005C3E23"/>
    <w:rsid w:val="005C50EF"/>
    <w:rsid w:val="005C55C6"/>
    <w:rsid w:val="005C5A56"/>
    <w:rsid w:val="005C5BC5"/>
    <w:rsid w:val="005C7C17"/>
    <w:rsid w:val="005D1029"/>
    <w:rsid w:val="005D1AB2"/>
    <w:rsid w:val="005D271E"/>
    <w:rsid w:val="005D3268"/>
    <w:rsid w:val="005D3F3B"/>
    <w:rsid w:val="005D4228"/>
    <w:rsid w:val="005D5E59"/>
    <w:rsid w:val="005D6767"/>
    <w:rsid w:val="005E6C87"/>
    <w:rsid w:val="005E7808"/>
    <w:rsid w:val="005F32A9"/>
    <w:rsid w:val="005F377F"/>
    <w:rsid w:val="005F5445"/>
    <w:rsid w:val="005F6D93"/>
    <w:rsid w:val="00600858"/>
    <w:rsid w:val="00601C5A"/>
    <w:rsid w:val="00603572"/>
    <w:rsid w:val="00605336"/>
    <w:rsid w:val="0060710F"/>
    <w:rsid w:val="00611FC4"/>
    <w:rsid w:val="00614329"/>
    <w:rsid w:val="0061460D"/>
    <w:rsid w:val="0061598B"/>
    <w:rsid w:val="00615A5F"/>
    <w:rsid w:val="006163E5"/>
    <w:rsid w:val="006176FB"/>
    <w:rsid w:val="00617AB8"/>
    <w:rsid w:val="0062221C"/>
    <w:rsid w:val="00624C73"/>
    <w:rsid w:val="006259B5"/>
    <w:rsid w:val="00626B70"/>
    <w:rsid w:val="00626BE3"/>
    <w:rsid w:val="00631070"/>
    <w:rsid w:val="006324C1"/>
    <w:rsid w:val="00634173"/>
    <w:rsid w:val="006363D7"/>
    <w:rsid w:val="00640B26"/>
    <w:rsid w:val="00641D43"/>
    <w:rsid w:val="006443B2"/>
    <w:rsid w:val="0064697E"/>
    <w:rsid w:val="006469D8"/>
    <w:rsid w:val="006515E8"/>
    <w:rsid w:val="00651701"/>
    <w:rsid w:val="0065203D"/>
    <w:rsid w:val="00652F25"/>
    <w:rsid w:val="00653B2D"/>
    <w:rsid w:val="00661A15"/>
    <w:rsid w:val="006664DE"/>
    <w:rsid w:val="00667191"/>
    <w:rsid w:val="0067039C"/>
    <w:rsid w:val="0067098A"/>
    <w:rsid w:val="006717D1"/>
    <w:rsid w:val="006718E3"/>
    <w:rsid w:val="00671BB9"/>
    <w:rsid w:val="00673287"/>
    <w:rsid w:val="0067383B"/>
    <w:rsid w:val="006778BB"/>
    <w:rsid w:val="00677AB9"/>
    <w:rsid w:val="006815D1"/>
    <w:rsid w:val="00682D97"/>
    <w:rsid w:val="006833A6"/>
    <w:rsid w:val="00684DB8"/>
    <w:rsid w:val="006912A9"/>
    <w:rsid w:val="00691E22"/>
    <w:rsid w:val="006923EE"/>
    <w:rsid w:val="00692B8F"/>
    <w:rsid w:val="006943CD"/>
    <w:rsid w:val="00694DE1"/>
    <w:rsid w:val="00695055"/>
    <w:rsid w:val="006A052E"/>
    <w:rsid w:val="006A05F2"/>
    <w:rsid w:val="006A2406"/>
    <w:rsid w:val="006A7392"/>
    <w:rsid w:val="006A762B"/>
    <w:rsid w:val="006A76B1"/>
    <w:rsid w:val="006A7E53"/>
    <w:rsid w:val="006B1D08"/>
    <w:rsid w:val="006B3341"/>
    <w:rsid w:val="006B38F3"/>
    <w:rsid w:val="006B3F4A"/>
    <w:rsid w:val="006C065A"/>
    <w:rsid w:val="006C0720"/>
    <w:rsid w:val="006C0A06"/>
    <w:rsid w:val="006C0D34"/>
    <w:rsid w:val="006C263A"/>
    <w:rsid w:val="006C6546"/>
    <w:rsid w:val="006C680F"/>
    <w:rsid w:val="006C6C49"/>
    <w:rsid w:val="006D02ED"/>
    <w:rsid w:val="006D0D7F"/>
    <w:rsid w:val="006D1164"/>
    <w:rsid w:val="006D191E"/>
    <w:rsid w:val="006D41B8"/>
    <w:rsid w:val="006D4CC9"/>
    <w:rsid w:val="006D7409"/>
    <w:rsid w:val="006D7B6B"/>
    <w:rsid w:val="006D7DF5"/>
    <w:rsid w:val="006D7E26"/>
    <w:rsid w:val="006E564B"/>
    <w:rsid w:val="006E57B3"/>
    <w:rsid w:val="006E7D14"/>
    <w:rsid w:val="006F525C"/>
    <w:rsid w:val="00701952"/>
    <w:rsid w:val="00702BD6"/>
    <w:rsid w:val="00707269"/>
    <w:rsid w:val="00710290"/>
    <w:rsid w:val="007112B5"/>
    <w:rsid w:val="00713E91"/>
    <w:rsid w:val="00717241"/>
    <w:rsid w:val="00717B94"/>
    <w:rsid w:val="00723CA7"/>
    <w:rsid w:val="0072632A"/>
    <w:rsid w:val="00726CF9"/>
    <w:rsid w:val="00730D41"/>
    <w:rsid w:val="007333BF"/>
    <w:rsid w:val="00734F7C"/>
    <w:rsid w:val="00735BE7"/>
    <w:rsid w:val="00736403"/>
    <w:rsid w:val="00740576"/>
    <w:rsid w:val="00743188"/>
    <w:rsid w:val="00743E81"/>
    <w:rsid w:val="00752B0E"/>
    <w:rsid w:val="00754AAA"/>
    <w:rsid w:val="007553B1"/>
    <w:rsid w:val="007570EB"/>
    <w:rsid w:val="007601A3"/>
    <w:rsid w:val="00762C45"/>
    <w:rsid w:val="0076446E"/>
    <w:rsid w:val="00765962"/>
    <w:rsid w:val="00766517"/>
    <w:rsid w:val="0077111B"/>
    <w:rsid w:val="0077141A"/>
    <w:rsid w:val="00771DD2"/>
    <w:rsid w:val="007742A2"/>
    <w:rsid w:val="007745C9"/>
    <w:rsid w:val="00776338"/>
    <w:rsid w:val="0077740E"/>
    <w:rsid w:val="00780E8F"/>
    <w:rsid w:val="00783404"/>
    <w:rsid w:val="0079171C"/>
    <w:rsid w:val="007923AA"/>
    <w:rsid w:val="007927E4"/>
    <w:rsid w:val="00794379"/>
    <w:rsid w:val="007A0C9D"/>
    <w:rsid w:val="007B0BF2"/>
    <w:rsid w:val="007B334C"/>
    <w:rsid w:val="007B35FD"/>
    <w:rsid w:val="007B64A5"/>
    <w:rsid w:val="007B6BA5"/>
    <w:rsid w:val="007B7201"/>
    <w:rsid w:val="007B7F74"/>
    <w:rsid w:val="007C1834"/>
    <w:rsid w:val="007C209C"/>
    <w:rsid w:val="007C3390"/>
    <w:rsid w:val="007C4F4B"/>
    <w:rsid w:val="007C53CA"/>
    <w:rsid w:val="007C5752"/>
    <w:rsid w:val="007C7C96"/>
    <w:rsid w:val="007D0260"/>
    <w:rsid w:val="007D1F9D"/>
    <w:rsid w:val="007D2058"/>
    <w:rsid w:val="007D49B2"/>
    <w:rsid w:val="007E1A3D"/>
    <w:rsid w:val="007F07AB"/>
    <w:rsid w:val="007F312E"/>
    <w:rsid w:val="007F3143"/>
    <w:rsid w:val="007F3CD7"/>
    <w:rsid w:val="007F3CFD"/>
    <w:rsid w:val="007F4586"/>
    <w:rsid w:val="007F504B"/>
    <w:rsid w:val="007F6611"/>
    <w:rsid w:val="0080151D"/>
    <w:rsid w:val="008030D4"/>
    <w:rsid w:val="00804313"/>
    <w:rsid w:val="00807994"/>
    <w:rsid w:val="00812E32"/>
    <w:rsid w:val="00813954"/>
    <w:rsid w:val="008175E9"/>
    <w:rsid w:val="00817AC8"/>
    <w:rsid w:val="00817F7A"/>
    <w:rsid w:val="0082008D"/>
    <w:rsid w:val="00821826"/>
    <w:rsid w:val="008242D7"/>
    <w:rsid w:val="00826A25"/>
    <w:rsid w:val="00830F23"/>
    <w:rsid w:val="0083469C"/>
    <w:rsid w:val="0084447F"/>
    <w:rsid w:val="0084760D"/>
    <w:rsid w:val="00850624"/>
    <w:rsid w:val="008529F8"/>
    <w:rsid w:val="008537F9"/>
    <w:rsid w:val="008557BB"/>
    <w:rsid w:val="00855D77"/>
    <w:rsid w:val="008568E8"/>
    <w:rsid w:val="00857B29"/>
    <w:rsid w:val="00857DDF"/>
    <w:rsid w:val="0086081C"/>
    <w:rsid w:val="008630B6"/>
    <w:rsid w:val="00865576"/>
    <w:rsid w:val="00871FD5"/>
    <w:rsid w:val="008742DF"/>
    <w:rsid w:val="008747F4"/>
    <w:rsid w:val="00876B27"/>
    <w:rsid w:val="0088313D"/>
    <w:rsid w:val="00885A0D"/>
    <w:rsid w:val="00887197"/>
    <w:rsid w:val="008879A8"/>
    <w:rsid w:val="008943CD"/>
    <w:rsid w:val="00895C1F"/>
    <w:rsid w:val="008979B1"/>
    <w:rsid w:val="008A3DD5"/>
    <w:rsid w:val="008A5A29"/>
    <w:rsid w:val="008A6B25"/>
    <w:rsid w:val="008A6C4F"/>
    <w:rsid w:val="008B3B05"/>
    <w:rsid w:val="008B69EF"/>
    <w:rsid w:val="008C26B6"/>
    <w:rsid w:val="008C6C86"/>
    <w:rsid w:val="008C6D58"/>
    <w:rsid w:val="008C7168"/>
    <w:rsid w:val="008D1450"/>
    <w:rsid w:val="008D1566"/>
    <w:rsid w:val="008E0E46"/>
    <w:rsid w:val="008E119A"/>
    <w:rsid w:val="008E2040"/>
    <w:rsid w:val="008E5DEC"/>
    <w:rsid w:val="008E6010"/>
    <w:rsid w:val="008E6156"/>
    <w:rsid w:val="008F084C"/>
    <w:rsid w:val="008F0E8B"/>
    <w:rsid w:val="008F174A"/>
    <w:rsid w:val="00901054"/>
    <w:rsid w:val="00904396"/>
    <w:rsid w:val="009045ED"/>
    <w:rsid w:val="009052CC"/>
    <w:rsid w:val="00907CC9"/>
    <w:rsid w:val="009106F0"/>
    <w:rsid w:val="00910C5D"/>
    <w:rsid w:val="00915EE7"/>
    <w:rsid w:val="0091605E"/>
    <w:rsid w:val="00923DFB"/>
    <w:rsid w:val="009246DA"/>
    <w:rsid w:val="00925DAA"/>
    <w:rsid w:val="009316E3"/>
    <w:rsid w:val="00934E7E"/>
    <w:rsid w:val="0094022A"/>
    <w:rsid w:val="00941DE0"/>
    <w:rsid w:val="00942BE3"/>
    <w:rsid w:val="0094497F"/>
    <w:rsid w:val="009530B5"/>
    <w:rsid w:val="00953E99"/>
    <w:rsid w:val="009556C1"/>
    <w:rsid w:val="009569BB"/>
    <w:rsid w:val="00957406"/>
    <w:rsid w:val="00960A18"/>
    <w:rsid w:val="00960D50"/>
    <w:rsid w:val="00963CBA"/>
    <w:rsid w:val="009644C8"/>
    <w:rsid w:val="00964EF4"/>
    <w:rsid w:val="0096757F"/>
    <w:rsid w:val="00967BE3"/>
    <w:rsid w:val="00973F04"/>
    <w:rsid w:val="00975748"/>
    <w:rsid w:val="00975CEB"/>
    <w:rsid w:val="00976A86"/>
    <w:rsid w:val="009776E3"/>
    <w:rsid w:val="009811F2"/>
    <w:rsid w:val="009840DD"/>
    <w:rsid w:val="009857C4"/>
    <w:rsid w:val="00991261"/>
    <w:rsid w:val="00993AC4"/>
    <w:rsid w:val="00993EC0"/>
    <w:rsid w:val="00995443"/>
    <w:rsid w:val="00997612"/>
    <w:rsid w:val="009A0332"/>
    <w:rsid w:val="009A0A00"/>
    <w:rsid w:val="009A0A82"/>
    <w:rsid w:val="009A3E49"/>
    <w:rsid w:val="009B0E2A"/>
    <w:rsid w:val="009B10EA"/>
    <w:rsid w:val="009B30F5"/>
    <w:rsid w:val="009B4600"/>
    <w:rsid w:val="009B5585"/>
    <w:rsid w:val="009B68CF"/>
    <w:rsid w:val="009B792D"/>
    <w:rsid w:val="009C27AB"/>
    <w:rsid w:val="009C5A1D"/>
    <w:rsid w:val="009C7692"/>
    <w:rsid w:val="009C7C87"/>
    <w:rsid w:val="009D1335"/>
    <w:rsid w:val="009D153C"/>
    <w:rsid w:val="009D1DD7"/>
    <w:rsid w:val="009D2B81"/>
    <w:rsid w:val="009D32C3"/>
    <w:rsid w:val="009D3A84"/>
    <w:rsid w:val="009D4123"/>
    <w:rsid w:val="009D6D28"/>
    <w:rsid w:val="009D6E87"/>
    <w:rsid w:val="009D7D1B"/>
    <w:rsid w:val="009D7F21"/>
    <w:rsid w:val="009E016C"/>
    <w:rsid w:val="009E1411"/>
    <w:rsid w:val="009E344D"/>
    <w:rsid w:val="009E34A6"/>
    <w:rsid w:val="009E38E4"/>
    <w:rsid w:val="009F12E0"/>
    <w:rsid w:val="009F1C76"/>
    <w:rsid w:val="009F1F9A"/>
    <w:rsid w:val="009F29F8"/>
    <w:rsid w:val="009F3E16"/>
    <w:rsid w:val="009F4982"/>
    <w:rsid w:val="009F4CF5"/>
    <w:rsid w:val="00A00E8D"/>
    <w:rsid w:val="00A025FE"/>
    <w:rsid w:val="00A05873"/>
    <w:rsid w:val="00A05D36"/>
    <w:rsid w:val="00A068F9"/>
    <w:rsid w:val="00A069D1"/>
    <w:rsid w:val="00A10424"/>
    <w:rsid w:val="00A12FF5"/>
    <w:rsid w:val="00A1427D"/>
    <w:rsid w:val="00A1547A"/>
    <w:rsid w:val="00A15C1C"/>
    <w:rsid w:val="00A2055D"/>
    <w:rsid w:val="00A205F7"/>
    <w:rsid w:val="00A206F2"/>
    <w:rsid w:val="00A20B80"/>
    <w:rsid w:val="00A213FA"/>
    <w:rsid w:val="00A22F0B"/>
    <w:rsid w:val="00A277EF"/>
    <w:rsid w:val="00A40A96"/>
    <w:rsid w:val="00A43DB5"/>
    <w:rsid w:val="00A4470B"/>
    <w:rsid w:val="00A47CEE"/>
    <w:rsid w:val="00A47DB7"/>
    <w:rsid w:val="00A47ED6"/>
    <w:rsid w:val="00A55606"/>
    <w:rsid w:val="00A61D28"/>
    <w:rsid w:val="00A633A0"/>
    <w:rsid w:val="00A633C6"/>
    <w:rsid w:val="00A7069B"/>
    <w:rsid w:val="00A717B6"/>
    <w:rsid w:val="00A7239F"/>
    <w:rsid w:val="00A72F22"/>
    <w:rsid w:val="00A7330C"/>
    <w:rsid w:val="00A737C9"/>
    <w:rsid w:val="00A739DC"/>
    <w:rsid w:val="00A74543"/>
    <w:rsid w:val="00A748A6"/>
    <w:rsid w:val="00A74FA2"/>
    <w:rsid w:val="00A7582C"/>
    <w:rsid w:val="00A75A9F"/>
    <w:rsid w:val="00A77B6C"/>
    <w:rsid w:val="00A80511"/>
    <w:rsid w:val="00A80B99"/>
    <w:rsid w:val="00A82959"/>
    <w:rsid w:val="00A82F34"/>
    <w:rsid w:val="00A85CD8"/>
    <w:rsid w:val="00A865DF"/>
    <w:rsid w:val="00A879A4"/>
    <w:rsid w:val="00A9043C"/>
    <w:rsid w:val="00A90806"/>
    <w:rsid w:val="00A90ABD"/>
    <w:rsid w:val="00A90B81"/>
    <w:rsid w:val="00A90CFA"/>
    <w:rsid w:val="00A91C2A"/>
    <w:rsid w:val="00A9201A"/>
    <w:rsid w:val="00A95773"/>
    <w:rsid w:val="00A96502"/>
    <w:rsid w:val="00A96A4F"/>
    <w:rsid w:val="00A96E39"/>
    <w:rsid w:val="00A97864"/>
    <w:rsid w:val="00AA0B90"/>
    <w:rsid w:val="00AA3413"/>
    <w:rsid w:val="00AA5466"/>
    <w:rsid w:val="00AB372B"/>
    <w:rsid w:val="00AB5074"/>
    <w:rsid w:val="00AB63CF"/>
    <w:rsid w:val="00AB69C0"/>
    <w:rsid w:val="00AB769F"/>
    <w:rsid w:val="00AC3351"/>
    <w:rsid w:val="00AC70D1"/>
    <w:rsid w:val="00AD0F9A"/>
    <w:rsid w:val="00AD2272"/>
    <w:rsid w:val="00AD5015"/>
    <w:rsid w:val="00AD5572"/>
    <w:rsid w:val="00AE278D"/>
    <w:rsid w:val="00AE63AC"/>
    <w:rsid w:val="00AE7912"/>
    <w:rsid w:val="00AE7F94"/>
    <w:rsid w:val="00AF1E9A"/>
    <w:rsid w:val="00AF2C1C"/>
    <w:rsid w:val="00AF2C75"/>
    <w:rsid w:val="00AF788A"/>
    <w:rsid w:val="00B04EEC"/>
    <w:rsid w:val="00B063CB"/>
    <w:rsid w:val="00B10F04"/>
    <w:rsid w:val="00B14BE0"/>
    <w:rsid w:val="00B20810"/>
    <w:rsid w:val="00B254BB"/>
    <w:rsid w:val="00B258DC"/>
    <w:rsid w:val="00B27FB3"/>
    <w:rsid w:val="00B30179"/>
    <w:rsid w:val="00B31762"/>
    <w:rsid w:val="00B3215D"/>
    <w:rsid w:val="00B325A7"/>
    <w:rsid w:val="00B3317B"/>
    <w:rsid w:val="00B34089"/>
    <w:rsid w:val="00B347DF"/>
    <w:rsid w:val="00B42E1F"/>
    <w:rsid w:val="00B43D92"/>
    <w:rsid w:val="00B44413"/>
    <w:rsid w:val="00B45FB7"/>
    <w:rsid w:val="00B61669"/>
    <w:rsid w:val="00B61F75"/>
    <w:rsid w:val="00B645E7"/>
    <w:rsid w:val="00B65429"/>
    <w:rsid w:val="00B665DD"/>
    <w:rsid w:val="00B66B93"/>
    <w:rsid w:val="00B67039"/>
    <w:rsid w:val="00B677CA"/>
    <w:rsid w:val="00B7038F"/>
    <w:rsid w:val="00B71C37"/>
    <w:rsid w:val="00B72F4D"/>
    <w:rsid w:val="00B73EC9"/>
    <w:rsid w:val="00B740E6"/>
    <w:rsid w:val="00B75A25"/>
    <w:rsid w:val="00B75D73"/>
    <w:rsid w:val="00B810EF"/>
    <w:rsid w:val="00B81E12"/>
    <w:rsid w:val="00B82A8B"/>
    <w:rsid w:val="00B83136"/>
    <w:rsid w:val="00B83349"/>
    <w:rsid w:val="00B878FF"/>
    <w:rsid w:val="00B91FD2"/>
    <w:rsid w:val="00B93068"/>
    <w:rsid w:val="00B9382D"/>
    <w:rsid w:val="00B96D6F"/>
    <w:rsid w:val="00B96EB2"/>
    <w:rsid w:val="00B97053"/>
    <w:rsid w:val="00B977EE"/>
    <w:rsid w:val="00B97930"/>
    <w:rsid w:val="00BA03F3"/>
    <w:rsid w:val="00BA3E52"/>
    <w:rsid w:val="00BA446B"/>
    <w:rsid w:val="00BA4922"/>
    <w:rsid w:val="00BA5954"/>
    <w:rsid w:val="00BA5AD6"/>
    <w:rsid w:val="00BB6B68"/>
    <w:rsid w:val="00BB7712"/>
    <w:rsid w:val="00BC0ABE"/>
    <w:rsid w:val="00BC1B7E"/>
    <w:rsid w:val="00BC4245"/>
    <w:rsid w:val="00BC5F5A"/>
    <w:rsid w:val="00BC7257"/>
    <w:rsid w:val="00BC74E9"/>
    <w:rsid w:val="00BD13D6"/>
    <w:rsid w:val="00BD6D52"/>
    <w:rsid w:val="00BE0C69"/>
    <w:rsid w:val="00BE16F1"/>
    <w:rsid w:val="00BE22A6"/>
    <w:rsid w:val="00BE5E22"/>
    <w:rsid w:val="00BE618E"/>
    <w:rsid w:val="00BF3454"/>
    <w:rsid w:val="00BF6BF8"/>
    <w:rsid w:val="00C01A27"/>
    <w:rsid w:val="00C01E72"/>
    <w:rsid w:val="00C0226D"/>
    <w:rsid w:val="00C02EB5"/>
    <w:rsid w:val="00C0689E"/>
    <w:rsid w:val="00C113FC"/>
    <w:rsid w:val="00C11F4A"/>
    <w:rsid w:val="00C12EB8"/>
    <w:rsid w:val="00C14CD7"/>
    <w:rsid w:val="00C20101"/>
    <w:rsid w:val="00C2308E"/>
    <w:rsid w:val="00C23652"/>
    <w:rsid w:val="00C249E9"/>
    <w:rsid w:val="00C26BCF"/>
    <w:rsid w:val="00C334F4"/>
    <w:rsid w:val="00C33ED4"/>
    <w:rsid w:val="00C3549D"/>
    <w:rsid w:val="00C358A5"/>
    <w:rsid w:val="00C37030"/>
    <w:rsid w:val="00C374A4"/>
    <w:rsid w:val="00C404D3"/>
    <w:rsid w:val="00C40871"/>
    <w:rsid w:val="00C40EC9"/>
    <w:rsid w:val="00C40FFE"/>
    <w:rsid w:val="00C42E25"/>
    <w:rsid w:val="00C43E94"/>
    <w:rsid w:val="00C46065"/>
    <w:rsid w:val="00C463DD"/>
    <w:rsid w:val="00C4668A"/>
    <w:rsid w:val="00C47C40"/>
    <w:rsid w:val="00C52804"/>
    <w:rsid w:val="00C53F46"/>
    <w:rsid w:val="00C6198E"/>
    <w:rsid w:val="00C63F53"/>
    <w:rsid w:val="00C64679"/>
    <w:rsid w:val="00C66621"/>
    <w:rsid w:val="00C66C06"/>
    <w:rsid w:val="00C67457"/>
    <w:rsid w:val="00C676F9"/>
    <w:rsid w:val="00C70E82"/>
    <w:rsid w:val="00C7256C"/>
    <w:rsid w:val="00C745C3"/>
    <w:rsid w:val="00C8245A"/>
    <w:rsid w:val="00C84C84"/>
    <w:rsid w:val="00C90F2C"/>
    <w:rsid w:val="00C91721"/>
    <w:rsid w:val="00C9180E"/>
    <w:rsid w:val="00C94BFC"/>
    <w:rsid w:val="00C96FFB"/>
    <w:rsid w:val="00C97A1E"/>
    <w:rsid w:val="00CA3609"/>
    <w:rsid w:val="00CA4173"/>
    <w:rsid w:val="00CA4339"/>
    <w:rsid w:val="00CB63B7"/>
    <w:rsid w:val="00CB6C92"/>
    <w:rsid w:val="00CB749D"/>
    <w:rsid w:val="00CC0C0A"/>
    <w:rsid w:val="00CC26A9"/>
    <w:rsid w:val="00CC36DE"/>
    <w:rsid w:val="00CC5C78"/>
    <w:rsid w:val="00CC5CC3"/>
    <w:rsid w:val="00CC71A5"/>
    <w:rsid w:val="00CD3B64"/>
    <w:rsid w:val="00CD47FD"/>
    <w:rsid w:val="00CD79D0"/>
    <w:rsid w:val="00CD7BE4"/>
    <w:rsid w:val="00CE13B5"/>
    <w:rsid w:val="00CE226C"/>
    <w:rsid w:val="00CE293D"/>
    <w:rsid w:val="00CE47E2"/>
    <w:rsid w:val="00CE4A8F"/>
    <w:rsid w:val="00CE58B2"/>
    <w:rsid w:val="00CE7C5C"/>
    <w:rsid w:val="00CF218A"/>
    <w:rsid w:val="00CF53C5"/>
    <w:rsid w:val="00CF5DF5"/>
    <w:rsid w:val="00D00832"/>
    <w:rsid w:val="00D012FB"/>
    <w:rsid w:val="00D04B01"/>
    <w:rsid w:val="00D071CA"/>
    <w:rsid w:val="00D116DF"/>
    <w:rsid w:val="00D11976"/>
    <w:rsid w:val="00D12201"/>
    <w:rsid w:val="00D1254D"/>
    <w:rsid w:val="00D1296F"/>
    <w:rsid w:val="00D14421"/>
    <w:rsid w:val="00D1501F"/>
    <w:rsid w:val="00D2031B"/>
    <w:rsid w:val="00D20FFE"/>
    <w:rsid w:val="00D25FE2"/>
    <w:rsid w:val="00D31460"/>
    <w:rsid w:val="00D3620B"/>
    <w:rsid w:val="00D366BB"/>
    <w:rsid w:val="00D36B2D"/>
    <w:rsid w:val="00D43252"/>
    <w:rsid w:val="00D43DC2"/>
    <w:rsid w:val="00D51F13"/>
    <w:rsid w:val="00D53C36"/>
    <w:rsid w:val="00D5425C"/>
    <w:rsid w:val="00D56627"/>
    <w:rsid w:val="00D57D0C"/>
    <w:rsid w:val="00D57F78"/>
    <w:rsid w:val="00D60248"/>
    <w:rsid w:val="00D620E2"/>
    <w:rsid w:val="00D66B69"/>
    <w:rsid w:val="00D71991"/>
    <w:rsid w:val="00D71DBD"/>
    <w:rsid w:val="00D727EF"/>
    <w:rsid w:val="00D74514"/>
    <w:rsid w:val="00D74ED3"/>
    <w:rsid w:val="00D75E0A"/>
    <w:rsid w:val="00D8090D"/>
    <w:rsid w:val="00D80DAB"/>
    <w:rsid w:val="00D82E2C"/>
    <w:rsid w:val="00D86484"/>
    <w:rsid w:val="00D9116E"/>
    <w:rsid w:val="00D925D5"/>
    <w:rsid w:val="00D93D8B"/>
    <w:rsid w:val="00D942E8"/>
    <w:rsid w:val="00D96499"/>
    <w:rsid w:val="00D975F3"/>
    <w:rsid w:val="00D978C6"/>
    <w:rsid w:val="00DA0313"/>
    <w:rsid w:val="00DA0E38"/>
    <w:rsid w:val="00DA2844"/>
    <w:rsid w:val="00DA38FD"/>
    <w:rsid w:val="00DA445A"/>
    <w:rsid w:val="00DA67AD"/>
    <w:rsid w:val="00DA6FC9"/>
    <w:rsid w:val="00DB1A48"/>
    <w:rsid w:val="00DB1BCA"/>
    <w:rsid w:val="00DB1C11"/>
    <w:rsid w:val="00DB3556"/>
    <w:rsid w:val="00DB4020"/>
    <w:rsid w:val="00DB40FE"/>
    <w:rsid w:val="00DB4442"/>
    <w:rsid w:val="00DB6034"/>
    <w:rsid w:val="00DB68DE"/>
    <w:rsid w:val="00DB6F6C"/>
    <w:rsid w:val="00DB70D9"/>
    <w:rsid w:val="00DB7686"/>
    <w:rsid w:val="00DB789B"/>
    <w:rsid w:val="00DC01F4"/>
    <w:rsid w:val="00DC190A"/>
    <w:rsid w:val="00DC3C20"/>
    <w:rsid w:val="00DC5133"/>
    <w:rsid w:val="00DC66A4"/>
    <w:rsid w:val="00DC66F8"/>
    <w:rsid w:val="00DC6B85"/>
    <w:rsid w:val="00DD0F9D"/>
    <w:rsid w:val="00DD4FCA"/>
    <w:rsid w:val="00DD5ECD"/>
    <w:rsid w:val="00DD7C71"/>
    <w:rsid w:val="00DD7F35"/>
    <w:rsid w:val="00DE014C"/>
    <w:rsid w:val="00DE4F12"/>
    <w:rsid w:val="00DE55D7"/>
    <w:rsid w:val="00DE7EDE"/>
    <w:rsid w:val="00DF6414"/>
    <w:rsid w:val="00DF72D0"/>
    <w:rsid w:val="00DF7748"/>
    <w:rsid w:val="00E01DCA"/>
    <w:rsid w:val="00E02652"/>
    <w:rsid w:val="00E03CFF"/>
    <w:rsid w:val="00E10E45"/>
    <w:rsid w:val="00E11C73"/>
    <w:rsid w:val="00E12CD9"/>
    <w:rsid w:val="00E130AB"/>
    <w:rsid w:val="00E1383C"/>
    <w:rsid w:val="00E14FEF"/>
    <w:rsid w:val="00E1696C"/>
    <w:rsid w:val="00E16A1A"/>
    <w:rsid w:val="00E20418"/>
    <w:rsid w:val="00E21781"/>
    <w:rsid w:val="00E227E4"/>
    <w:rsid w:val="00E25B99"/>
    <w:rsid w:val="00E25E73"/>
    <w:rsid w:val="00E305AE"/>
    <w:rsid w:val="00E31B5C"/>
    <w:rsid w:val="00E3218A"/>
    <w:rsid w:val="00E33376"/>
    <w:rsid w:val="00E3725C"/>
    <w:rsid w:val="00E376A2"/>
    <w:rsid w:val="00E41686"/>
    <w:rsid w:val="00E41B92"/>
    <w:rsid w:val="00E427E3"/>
    <w:rsid w:val="00E42E71"/>
    <w:rsid w:val="00E4430D"/>
    <w:rsid w:val="00E45307"/>
    <w:rsid w:val="00E4560B"/>
    <w:rsid w:val="00E4697A"/>
    <w:rsid w:val="00E5236B"/>
    <w:rsid w:val="00E52C66"/>
    <w:rsid w:val="00E53DF9"/>
    <w:rsid w:val="00E56348"/>
    <w:rsid w:val="00E5644E"/>
    <w:rsid w:val="00E57060"/>
    <w:rsid w:val="00E62C09"/>
    <w:rsid w:val="00E7124B"/>
    <w:rsid w:val="00E7260F"/>
    <w:rsid w:val="00E74AA9"/>
    <w:rsid w:val="00E820C1"/>
    <w:rsid w:val="00E822A8"/>
    <w:rsid w:val="00E872F7"/>
    <w:rsid w:val="00E902AF"/>
    <w:rsid w:val="00E93A35"/>
    <w:rsid w:val="00E93C92"/>
    <w:rsid w:val="00E95D84"/>
    <w:rsid w:val="00E95FA4"/>
    <w:rsid w:val="00E96212"/>
    <w:rsid w:val="00E96630"/>
    <w:rsid w:val="00E9726E"/>
    <w:rsid w:val="00EA25F7"/>
    <w:rsid w:val="00EA2F73"/>
    <w:rsid w:val="00EA3440"/>
    <w:rsid w:val="00EA7952"/>
    <w:rsid w:val="00EB1CF4"/>
    <w:rsid w:val="00EB1F3A"/>
    <w:rsid w:val="00EB5DA7"/>
    <w:rsid w:val="00EB6948"/>
    <w:rsid w:val="00EC0880"/>
    <w:rsid w:val="00EC12A6"/>
    <w:rsid w:val="00EC262B"/>
    <w:rsid w:val="00EC4191"/>
    <w:rsid w:val="00EC5B17"/>
    <w:rsid w:val="00ED1CB7"/>
    <w:rsid w:val="00ED2C7D"/>
    <w:rsid w:val="00ED436C"/>
    <w:rsid w:val="00ED4579"/>
    <w:rsid w:val="00ED4660"/>
    <w:rsid w:val="00ED5286"/>
    <w:rsid w:val="00ED649E"/>
    <w:rsid w:val="00ED7A2A"/>
    <w:rsid w:val="00EE10FA"/>
    <w:rsid w:val="00EE531F"/>
    <w:rsid w:val="00EE5907"/>
    <w:rsid w:val="00EF059B"/>
    <w:rsid w:val="00EF1D7F"/>
    <w:rsid w:val="00EF4C80"/>
    <w:rsid w:val="00EF5E35"/>
    <w:rsid w:val="00F00269"/>
    <w:rsid w:val="00F00664"/>
    <w:rsid w:val="00F006CC"/>
    <w:rsid w:val="00F01342"/>
    <w:rsid w:val="00F0145A"/>
    <w:rsid w:val="00F01A9C"/>
    <w:rsid w:val="00F02F55"/>
    <w:rsid w:val="00F03161"/>
    <w:rsid w:val="00F03F1B"/>
    <w:rsid w:val="00F06997"/>
    <w:rsid w:val="00F1295C"/>
    <w:rsid w:val="00F16308"/>
    <w:rsid w:val="00F17C34"/>
    <w:rsid w:val="00F214E7"/>
    <w:rsid w:val="00F22793"/>
    <w:rsid w:val="00F23E7B"/>
    <w:rsid w:val="00F24EBF"/>
    <w:rsid w:val="00F25484"/>
    <w:rsid w:val="00F25EB3"/>
    <w:rsid w:val="00F27D25"/>
    <w:rsid w:val="00F33A2E"/>
    <w:rsid w:val="00F3700D"/>
    <w:rsid w:val="00F40695"/>
    <w:rsid w:val="00F40A3C"/>
    <w:rsid w:val="00F40E75"/>
    <w:rsid w:val="00F41787"/>
    <w:rsid w:val="00F41F0B"/>
    <w:rsid w:val="00F458D8"/>
    <w:rsid w:val="00F46905"/>
    <w:rsid w:val="00F50A0B"/>
    <w:rsid w:val="00F50D83"/>
    <w:rsid w:val="00F54264"/>
    <w:rsid w:val="00F55921"/>
    <w:rsid w:val="00F576B8"/>
    <w:rsid w:val="00F6065C"/>
    <w:rsid w:val="00F6190B"/>
    <w:rsid w:val="00F61A09"/>
    <w:rsid w:val="00F63484"/>
    <w:rsid w:val="00F640BE"/>
    <w:rsid w:val="00F6533A"/>
    <w:rsid w:val="00F65E19"/>
    <w:rsid w:val="00F7304B"/>
    <w:rsid w:val="00F73854"/>
    <w:rsid w:val="00F742AD"/>
    <w:rsid w:val="00F75A9B"/>
    <w:rsid w:val="00F76A0F"/>
    <w:rsid w:val="00F77478"/>
    <w:rsid w:val="00F81954"/>
    <w:rsid w:val="00F83126"/>
    <w:rsid w:val="00F83ABD"/>
    <w:rsid w:val="00F9232E"/>
    <w:rsid w:val="00F92CD3"/>
    <w:rsid w:val="00F93492"/>
    <w:rsid w:val="00F93A4F"/>
    <w:rsid w:val="00F94C1C"/>
    <w:rsid w:val="00F95EF1"/>
    <w:rsid w:val="00F96E48"/>
    <w:rsid w:val="00FA0A63"/>
    <w:rsid w:val="00FA5250"/>
    <w:rsid w:val="00FA58E0"/>
    <w:rsid w:val="00FA6BCF"/>
    <w:rsid w:val="00FA749A"/>
    <w:rsid w:val="00FB23AF"/>
    <w:rsid w:val="00FB2A4B"/>
    <w:rsid w:val="00FB3A35"/>
    <w:rsid w:val="00FB46EA"/>
    <w:rsid w:val="00FB4882"/>
    <w:rsid w:val="00FB51CE"/>
    <w:rsid w:val="00FB5F27"/>
    <w:rsid w:val="00FB6C85"/>
    <w:rsid w:val="00FB73D5"/>
    <w:rsid w:val="00FC0AA5"/>
    <w:rsid w:val="00FC210C"/>
    <w:rsid w:val="00FC68B7"/>
    <w:rsid w:val="00FC6DDF"/>
    <w:rsid w:val="00FD137E"/>
    <w:rsid w:val="00FD2E02"/>
    <w:rsid w:val="00FD5B18"/>
    <w:rsid w:val="00FE274F"/>
    <w:rsid w:val="00FE2DE6"/>
    <w:rsid w:val="00FE426D"/>
    <w:rsid w:val="00FE5AEF"/>
    <w:rsid w:val="00FF1F4B"/>
    <w:rsid w:val="00FF2298"/>
    <w:rsid w:val="00FF3DE0"/>
    <w:rsid w:val="00FF6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eastAsia="en-US"/>
    </w:rPr>
  </w:style>
  <w:style w:type="paragraph" w:styleId="Heading1">
    <w:name w:val="heading 1"/>
    <w:aliases w:val="Table_G"/>
    <w:basedOn w:val="SingleTxtG"/>
    <w:next w:val="SingleTxtG"/>
    <w:link w:val="Heading1Char"/>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referencia nota al pie,BVI fnr,4_Footnote text,Footnote text,Appel note de bas de p.,callout,nota pié di pagina,Fußnotenzeichen DISS,16 Point,Superscript 6 Point,Footnotes refss,Footnote Reference1,Footnote Reference Number"/>
    <w:rsid w:val="00B75D73"/>
    <w:rPr>
      <w:rFonts w:ascii="Times New Roman" w:hAnsi="Times New Roman"/>
      <w:sz w:val="18"/>
      <w:vertAlign w:val="superscript"/>
    </w:rPr>
  </w:style>
  <w:style w:type="character" w:styleId="EndnoteReference">
    <w:name w:val="endnote reference"/>
    <w:aliases w:val="1_G"/>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lang w:val="x-none"/>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
    <w:basedOn w:val="Normal"/>
    <w:link w:val="FootnoteTextChar"/>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lang w:val="x-none"/>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locked/>
    <w:rsid w:val="007C5752"/>
    <w:rPr>
      <w:lang w:val="en-GB" w:eastAsia="en-US" w:bidi="ar-SA"/>
    </w:rPr>
  </w:style>
  <w:style w:type="character" w:customStyle="1" w:styleId="Heading2Char">
    <w:name w:val="Heading 2 Char"/>
    <w:link w:val="Heading2"/>
    <w:locked/>
    <w:rsid w:val="007C5752"/>
    <w:rPr>
      <w:lang w:val="en-GB" w:eastAsia="en-US" w:bidi="ar-SA"/>
    </w:rPr>
  </w:style>
  <w:style w:type="character" w:customStyle="1" w:styleId="Heading3Char">
    <w:name w:val="Heading 3 Char"/>
    <w:link w:val="Heading3"/>
    <w:locked/>
    <w:rsid w:val="007C5752"/>
    <w:rPr>
      <w:lang w:val="en-GB" w:eastAsia="en-US" w:bidi="ar-SA"/>
    </w:rPr>
  </w:style>
  <w:style w:type="character" w:styleId="Strong">
    <w:name w:val="Strong"/>
    <w:uiPriority w:val="22"/>
    <w:qFormat/>
    <w:rsid w:val="007C5752"/>
    <w:rPr>
      <w:b/>
    </w:rPr>
  </w:style>
  <w:style w:type="paragraph" w:customStyle="1" w:styleId="Default">
    <w:name w:val="Default"/>
    <w:rsid w:val="007C5752"/>
    <w:pPr>
      <w:autoSpaceDE w:val="0"/>
      <w:autoSpaceDN w:val="0"/>
      <w:adjustRightInd w:val="0"/>
    </w:pPr>
    <w:rPr>
      <w:rFonts w:eastAsia="SimSun"/>
      <w:color w:val="000000"/>
      <w:sz w:val="24"/>
      <w:szCs w:val="24"/>
      <w:lang w:val="en-US" w:eastAsia="zh-CN"/>
    </w:rPr>
  </w:style>
  <w:style w:type="character" w:customStyle="1" w:styleId="SingleTxtGChar">
    <w:name w:val="_ Single Txt_G Char"/>
    <w:link w:val="SingleTxtG"/>
    <w:locked/>
    <w:rsid w:val="007C5752"/>
    <w:rPr>
      <w:lang w:val="en-GB" w:eastAsia="en-US" w:bidi="ar-SA"/>
    </w:rPr>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link w:val="FootnoteText"/>
    <w:locked/>
    <w:rsid w:val="007C5752"/>
    <w:rPr>
      <w:sz w:val="18"/>
      <w:lang w:val="en-GB" w:eastAsia="en-US" w:bidi="ar-SA"/>
    </w:rPr>
  </w:style>
  <w:style w:type="character" w:customStyle="1" w:styleId="Bulletpoint1Char">
    <w:name w:val="Bulletpoint_1 Char"/>
    <w:link w:val="Bulletpoint1"/>
    <w:locked/>
    <w:rsid w:val="007C5752"/>
    <w:rPr>
      <w:lang w:val="en-US" w:eastAsia="x-none" w:bidi="ar-SA"/>
    </w:rPr>
  </w:style>
  <w:style w:type="paragraph" w:customStyle="1" w:styleId="Bulletpoint1">
    <w:name w:val="Bulletpoint_1"/>
    <w:basedOn w:val="Normal"/>
    <w:link w:val="Bulletpoint1Char"/>
    <w:rsid w:val="007C5752"/>
    <w:pPr>
      <w:widowControl w:val="0"/>
      <w:tabs>
        <w:tab w:val="num" w:pos="720"/>
      </w:tabs>
      <w:suppressAutoHyphens w:val="0"/>
      <w:snapToGrid w:val="0"/>
      <w:spacing w:after="120" w:line="240" w:lineRule="auto"/>
      <w:ind w:left="720" w:hanging="360"/>
      <w:jc w:val="both"/>
    </w:pPr>
    <w:rPr>
      <w:lang w:val="en-US" w:eastAsia="x-none"/>
    </w:rPr>
  </w:style>
  <w:style w:type="paragraph" w:customStyle="1" w:styleId="ColorfulList-Accent11">
    <w:name w:val="Colorful List - Accent 11"/>
    <w:basedOn w:val="Normal"/>
    <w:uiPriority w:val="34"/>
    <w:qFormat/>
    <w:rsid w:val="007C5752"/>
    <w:pPr>
      <w:suppressAutoHyphens w:val="0"/>
      <w:spacing w:line="240" w:lineRule="auto"/>
      <w:ind w:left="708"/>
    </w:pPr>
    <w:rPr>
      <w:rFonts w:eastAsia="Calibri"/>
      <w:sz w:val="24"/>
      <w:szCs w:val="24"/>
      <w:lang w:val="de-DE" w:eastAsia="de-DE"/>
    </w:rPr>
  </w:style>
  <w:style w:type="character" w:customStyle="1" w:styleId="HChGChar">
    <w:name w:val="_ H _Ch_G Char"/>
    <w:link w:val="HChG"/>
    <w:locked/>
    <w:rsid w:val="007C5752"/>
    <w:rPr>
      <w:b/>
      <w:sz w:val="28"/>
      <w:lang w:val="en-GB" w:eastAsia="en-US" w:bidi="ar-SA"/>
    </w:rPr>
  </w:style>
  <w:style w:type="character" w:styleId="Emphasis">
    <w:name w:val="Emphasis"/>
    <w:uiPriority w:val="20"/>
    <w:qFormat/>
    <w:rsid w:val="007C5752"/>
    <w:rPr>
      <w:rFonts w:cs="Times New Roman"/>
      <w:b/>
      <w:bCs/>
    </w:rPr>
  </w:style>
  <w:style w:type="character" w:customStyle="1" w:styleId="st">
    <w:name w:val="st"/>
    <w:rsid w:val="007C5752"/>
    <w:rPr>
      <w:rFonts w:cs="Times New Roman"/>
    </w:rPr>
  </w:style>
  <w:style w:type="character" w:customStyle="1" w:styleId="H1GChar">
    <w:name w:val="_ H_1_G Char"/>
    <w:link w:val="H1G"/>
    <w:rsid w:val="007C5752"/>
    <w:rPr>
      <w:b/>
      <w:sz w:val="24"/>
      <w:lang w:val="en-GB" w:eastAsia="en-US" w:bidi="ar-SA"/>
    </w:rPr>
  </w:style>
  <w:style w:type="paragraph" w:styleId="BalloonText">
    <w:name w:val="Balloon Text"/>
    <w:basedOn w:val="Normal"/>
    <w:link w:val="BalloonTextChar"/>
    <w:rsid w:val="00204551"/>
    <w:rPr>
      <w:rFonts w:ascii="Tahoma" w:hAnsi="Tahoma"/>
      <w:sz w:val="16"/>
      <w:szCs w:val="16"/>
      <w:lang w:val="x-none"/>
    </w:rPr>
  </w:style>
  <w:style w:type="character" w:styleId="CommentReference">
    <w:name w:val="annotation reference"/>
    <w:rsid w:val="00AC70D1"/>
    <w:rPr>
      <w:sz w:val="16"/>
      <w:szCs w:val="16"/>
    </w:rPr>
  </w:style>
  <w:style w:type="paragraph" w:styleId="CommentText">
    <w:name w:val="annotation text"/>
    <w:basedOn w:val="Normal"/>
    <w:link w:val="CommentTextChar"/>
    <w:rsid w:val="00AC70D1"/>
    <w:rPr>
      <w:lang w:val="x-none"/>
    </w:rPr>
  </w:style>
  <w:style w:type="character" w:customStyle="1" w:styleId="CommentTextChar">
    <w:name w:val="Comment Text Char"/>
    <w:link w:val="CommentText"/>
    <w:rsid w:val="00AC70D1"/>
    <w:rPr>
      <w:lang w:eastAsia="en-US"/>
    </w:rPr>
  </w:style>
  <w:style w:type="paragraph" w:styleId="CommentSubject">
    <w:name w:val="annotation subject"/>
    <w:basedOn w:val="CommentText"/>
    <w:next w:val="CommentText"/>
    <w:link w:val="CommentSubjectChar"/>
    <w:rsid w:val="00AC70D1"/>
    <w:rPr>
      <w:b/>
      <w:bCs/>
    </w:rPr>
  </w:style>
  <w:style w:type="character" w:customStyle="1" w:styleId="CommentSubjectChar">
    <w:name w:val="Comment Subject Char"/>
    <w:link w:val="CommentSubject"/>
    <w:rsid w:val="00AC70D1"/>
    <w:rPr>
      <w:b/>
      <w:bCs/>
      <w:lang w:eastAsia="en-US"/>
    </w:rPr>
  </w:style>
  <w:style w:type="character" w:customStyle="1" w:styleId="HeaderChar">
    <w:name w:val="Header Char"/>
    <w:aliases w:val="6_G Char"/>
    <w:link w:val="Header"/>
    <w:rsid w:val="00DC3C20"/>
    <w:rPr>
      <w:b/>
      <w:sz w:val="18"/>
      <w:lang w:eastAsia="en-US"/>
    </w:rPr>
  </w:style>
  <w:style w:type="character" w:customStyle="1" w:styleId="FooterChar">
    <w:name w:val="Footer Char"/>
    <w:aliases w:val="3_G Char"/>
    <w:link w:val="Footer"/>
    <w:uiPriority w:val="99"/>
    <w:rsid w:val="00DC3C20"/>
    <w:rPr>
      <w:sz w:val="16"/>
      <w:lang w:eastAsia="en-US"/>
    </w:rPr>
  </w:style>
  <w:style w:type="character" w:customStyle="1" w:styleId="BalloonTextChar">
    <w:name w:val="Balloon Text Char"/>
    <w:link w:val="BalloonText"/>
    <w:rsid w:val="00DC3C20"/>
    <w:rPr>
      <w:rFonts w:ascii="Tahoma" w:hAnsi="Tahoma" w:cs="Tahoma"/>
      <w:sz w:val="16"/>
      <w:szCs w:val="16"/>
      <w:lang w:eastAsia="en-US"/>
    </w:rPr>
  </w:style>
  <w:style w:type="paragraph" w:styleId="DocumentMap">
    <w:name w:val="Document Map"/>
    <w:basedOn w:val="Normal"/>
    <w:link w:val="DocumentMapChar"/>
    <w:rsid w:val="00DC3C20"/>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link w:val="DocumentMap"/>
    <w:rsid w:val="00DC3C20"/>
    <w:rPr>
      <w:rFonts w:ascii="Tahoma" w:eastAsia="Calibri" w:hAnsi="Tahoma"/>
      <w:sz w:val="16"/>
      <w:szCs w:val="16"/>
      <w:lang w:val="en-US" w:eastAsia="zh-CN"/>
    </w:rPr>
  </w:style>
  <w:style w:type="character" w:customStyle="1" w:styleId="highlight1">
    <w:name w:val="highlight1"/>
    <w:rsid w:val="00DC3C20"/>
    <w:rPr>
      <w:shd w:val="clear" w:color="auto" w:fill="FFCC33"/>
    </w:rPr>
  </w:style>
  <w:style w:type="paragraph" w:styleId="NormalWeb">
    <w:name w:val="Normal (Web)"/>
    <w:basedOn w:val="Normal"/>
    <w:uiPriority w:val="99"/>
    <w:unhideWhenUsed/>
    <w:rsid w:val="00DC3C20"/>
    <w:pPr>
      <w:suppressAutoHyphens w:val="0"/>
      <w:spacing w:before="100" w:beforeAutospacing="1" w:after="100" w:afterAutospacing="1" w:line="240" w:lineRule="auto"/>
    </w:pPr>
    <w:rPr>
      <w:sz w:val="24"/>
      <w:szCs w:val="24"/>
      <w:lang w:eastAsia="en-GB"/>
    </w:rPr>
  </w:style>
  <w:style w:type="character" w:customStyle="1" w:styleId="hps">
    <w:name w:val="hps"/>
    <w:rsid w:val="00DC3C20"/>
  </w:style>
  <w:style w:type="character" w:customStyle="1" w:styleId="apple-converted-space">
    <w:name w:val="apple-converted-space"/>
    <w:rsid w:val="00DC3C20"/>
  </w:style>
  <w:style w:type="character" w:customStyle="1" w:styleId="highlight">
    <w:name w:val="highlight"/>
    <w:rsid w:val="00DC3C20"/>
  </w:style>
  <w:style w:type="numbering" w:customStyle="1" w:styleId="NoList1">
    <w:name w:val="No List1"/>
    <w:next w:val="NoList"/>
    <w:uiPriority w:val="99"/>
    <w:semiHidden/>
    <w:unhideWhenUsed/>
    <w:rsid w:val="000F0F0F"/>
  </w:style>
  <w:style w:type="paragraph" w:customStyle="1" w:styleId="ListParagraph1">
    <w:name w:val="List Paragraph1"/>
    <w:basedOn w:val="Normal"/>
    <w:uiPriority w:val="34"/>
    <w:qFormat/>
    <w:rsid w:val="000F0F0F"/>
    <w:pPr>
      <w:suppressAutoHyphens w:val="0"/>
      <w:spacing w:line="240" w:lineRule="auto"/>
      <w:ind w:left="720"/>
    </w:pPr>
    <w:rPr>
      <w:rFonts w:eastAsia="Malgun Gothic"/>
      <w:sz w:val="24"/>
      <w:szCs w:val="24"/>
      <w:lang w:val="en-US" w:eastAsia="zh-CN"/>
    </w:rPr>
  </w:style>
  <w:style w:type="character" w:customStyle="1" w:styleId="st1">
    <w:name w:val="st1"/>
    <w:rsid w:val="000F0F0F"/>
  </w:style>
  <w:style w:type="character" w:customStyle="1" w:styleId="apple-style-span">
    <w:name w:val="apple-style-span"/>
    <w:rsid w:val="000F0F0F"/>
  </w:style>
  <w:style w:type="character" w:styleId="HTMLTypewriter">
    <w:name w:val="HTML Typewriter"/>
    <w:uiPriority w:val="99"/>
    <w:unhideWhenUsed/>
    <w:rsid w:val="000F0F0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eastAsia="en-US"/>
    </w:rPr>
  </w:style>
  <w:style w:type="paragraph" w:styleId="Heading1">
    <w:name w:val="heading 1"/>
    <w:aliases w:val="Table_G"/>
    <w:basedOn w:val="SingleTxtG"/>
    <w:next w:val="SingleTxtG"/>
    <w:link w:val="Heading1Char"/>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referencia nota al pie,BVI fnr,4_Footnote text,Footnote text,Appel note de bas de p.,callout,nota pié di pagina,Fußnotenzeichen DISS,16 Point,Superscript 6 Point,Footnotes refss,Footnote Reference1,Footnote Reference Number"/>
    <w:rsid w:val="00B75D73"/>
    <w:rPr>
      <w:rFonts w:ascii="Times New Roman" w:hAnsi="Times New Roman"/>
      <w:sz w:val="18"/>
      <w:vertAlign w:val="superscript"/>
    </w:rPr>
  </w:style>
  <w:style w:type="character" w:styleId="EndnoteReference">
    <w:name w:val="endnote reference"/>
    <w:aliases w:val="1_G"/>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lang w:val="x-none"/>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
    <w:basedOn w:val="Normal"/>
    <w:link w:val="FootnoteTextChar"/>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lang w:val="x-none"/>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locked/>
    <w:rsid w:val="007C5752"/>
    <w:rPr>
      <w:lang w:val="en-GB" w:eastAsia="en-US" w:bidi="ar-SA"/>
    </w:rPr>
  </w:style>
  <w:style w:type="character" w:customStyle="1" w:styleId="Heading2Char">
    <w:name w:val="Heading 2 Char"/>
    <w:link w:val="Heading2"/>
    <w:locked/>
    <w:rsid w:val="007C5752"/>
    <w:rPr>
      <w:lang w:val="en-GB" w:eastAsia="en-US" w:bidi="ar-SA"/>
    </w:rPr>
  </w:style>
  <w:style w:type="character" w:customStyle="1" w:styleId="Heading3Char">
    <w:name w:val="Heading 3 Char"/>
    <w:link w:val="Heading3"/>
    <w:locked/>
    <w:rsid w:val="007C5752"/>
    <w:rPr>
      <w:lang w:val="en-GB" w:eastAsia="en-US" w:bidi="ar-SA"/>
    </w:rPr>
  </w:style>
  <w:style w:type="character" w:styleId="Strong">
    <w:name w:val="Strong"/>
    <w:uiPriority w:val="22"/>
    <w:qFormat/>
    <w:rsid w:val="007C5752"/>
    <w:rPr>
      <w:b/>
    </w:rPr>
  </w:style>
  <w:style w:type="paragraph" w:customStyle="1" w:styleId="Default">
    <w:name w:val="Default"/>
    <w:rsid w:val="007C5752"/>
    <w:pPr>
      <w:autoSpaceDE w:val="0"/>
      <w:autoSpaceDN w:val="0"/>
      <w:adjustRightInd w:val="0"/>
    </w:pPr>
    <w:rPr>
      <w:rFonts w:eastAsia="SimSun"/>
      <w:color w:val="000000"/>
      <w:sz w:val="24"/>
      <w:szCs w:val="24"/>
      <w:lang w:val="en-US" w:eastAsia="zh-CN"/>
    </w:rPr>
  </w:style>
  <w:style w:type="character" w:customStyle="1" w:styleId="SingleTxtGChar">
    <w:name w:val="_ Single Txt_G Char"/>
    <w:link w:val="SingleTxtG"/>
    <w:locked/>
    <w:rsid w:val="007C5752"/>
    <w:rPr>
      <w:lang w:val="en-GB" w:eastAsia="en-US" w:bidi="ar-SA"/>
    </w:rPr>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link w:val="FootnoteText"/>
    <w:locked/>
    <w:rsid w:val="007C5752"/>
    <w:rPr>
      <w:sz w:val="18"/>
      <w:lang w:val="en-GB" w:eastAsia="en-US" w:bidi="ar-SA"/>
    </w:rPr>
  </w:style>
  <w:style w:type="character" w:customStyle="1" w:styleId="Bulletpoint1Char">
    <w:name w:val="Bulletpoint_1 Char"/>
    <w:link w:val="Bulletpoint1"/>
    <w:locked/>
    <w:rsid w:val="007C5752"/>
    <w:rPr>
      <w:lang w:val="en-US" w:eastAsia="x-none" w:bidi="ar-SA"/>
    </w:rPr>
  </w:style>
  <w:style w:type="paragraph" w:customStyle="1" w:styleId="Bulletpoint1">
    <w:name w:val="Bulletpoint_1"/>
    <w:basedOn w:val="Normal"/>
    <w:link w:val="Bulletpoint1Char"/>
    <w:rsid w:val="007C5752"/>
    <w:pPr>
      <w:widowControl w:val="0"/>
      <w:tabs>
        <w:tab w:val="num" w:pos="720"/>
      </w:tabs>
      <w:suppressAutoHyphens w:val="0"/>
      <w:snapToGrid w:val="0"/>
      <w:spacing w:after="120" w:line="240" w:lineRule="auto"/>
      <w:ind w:left="720" w:hanging="360"/>
      <w:jc w:val="both"/>
    </w:pPr>
    <w:rPr>
      <w:lang w:val="en-US" w:eastAsia="x-none"/>
    </w:rPr>
  </w:style>
  <w:style w:type="paragraph" w:customStyle="1" w:styleId="ColorfulList-Accent11">
    <w:name w:val="Colorful List - Accent 11"/>
    <w:basedOn w:val="Normal"/>
    <w:uiPriority w:val="34"/>
    <w:qFormat/>
    <w:rsid w:val="007C5752"/>
    <w:pPr>
      <w:suppressAutoHyphens w:val="0"/>
      <w:spacing w:line="240" w:lineRule="auto"/>
      <w:ind w:left="708"/>
    </w:pPr>
    <w:rPr>
      <w:rFonts w:eastAsia="Calibri"/>
      <w:sz w:val="24"/>
      <w:szCs w:val="24"/>
      <w:lang w:val="de-DE" w:eastAsia="de-DE"/>
    </w:rPr>
  </w:style>
  <w:style w:type="character" w:customStyle="1" w:styleId="HChGChar">
    <w:name w:val="_ H _Ch_G Char"/>
    <w:link w:val="HChG"/>
    <w:locked/>
    <w:rsid w:val="007C5752"/>
    <w:rPr>
      <w:b/>
      <w:sz w:val="28"/>
      <w:lang w:val="en-GB" w:eastAsia="en-US" w:bidi="ar-SA"/>
    </w:rPr>
  </w:style>
  <w:style w:type="character" w:styleId="Emphasis">
    <w:name w:val="Emphasis"/>
    <w:uiPriority w:val="20"/>
    <w:qFormat/>
    <w:rsid w:val="007C5752"/>
    <w:rPr>
      <w:rFonts w:cs="Times New Roman"/>
      <w:b/>
      <w:bCs/>
    </w:rPr>
  </w:style>
  <w:style w:type="character" w:customStyle="1" w:styleId="st">
    <w:name w:val="st"/>
    <w:rsid w:val="007C5752"/>
    <w:rPr>
      <w:rFonts w:cs="Times New Roman"/>
    </w:rPr>
  </w:style>
  <w:style w:type="character" w:customStyle="1" w:styleId="H1GChar">
    <w:name w:val="_ H_1_G Char"/>
    <w:link w:val="H1G"/>
    <w:rsid w:val="007C5752"/>
    <w:rPr>
      <w:b/>
      <w:sz w:val="24"/>
      <w:lang w:val="en-GB" w:eastAsia="en-US" w:bidi="ar-SA"/>
    </w:rPr>
  </w:style>
  <w:style w:type="paragraph" w:styleId="BalloonText">
    <w:name w:val="Balloon Text"/>
    <w:basedOn w:val="Normal"/>
    <w:link w:val="BalloonTextChar"/>
    <w:rsid w:val="00204551"/>
    <w:rPr>
      <w:rFonts w:ascii="Tahoma" w:hAnsi="Tahoma"/>
      <w:sz w:val="16"/>
      <w:szCs w:val="16"/>
      <w:lang w:val="x-none"/>
    </w:rPr>
  </w:style>
  <w:style w:type="character" w:styleId="CommentReference">
    <w:name w:val="annotation reference"/>
    <w:rsid w:val="00AC70D1"/>
    <w:rPr>
      <w:sz w:val="16"/>
      <w:szCs w:val="16"/>
    </w:rPr>
  </w:style>
  <w:style w:type="paragraph" w:styleId="CommentText">
    <w:name w:val="annotation text"/>
    <w:basedOn w:val="Normal"/>
    <w:link w:val="CommentTextChar"/>
    <w:rsid w:val="00AC70D1"/>
    <w:rPr>
      <w:lang w:val="x-none"/>
    </w:rPr>
  </w:style>
  <w:style w:type="character" w:customStyle="1" w:styleId="CommentTextChar">
    <w:name w:val="Comment Text Char"/>
    <w:link w:val="CommentText"/>
    <w:rsid w:val="00AC70D1"/>
    <w:rPr>
      <w:lang w:eastAsia="en-US"/>
    </w:rPr>
  </w:style>
  <w:style w:type="paragraph" w:styleId="CommentSubject">
    <w:name w:val="annotation subject"/>
    <w:basedOn w:val="CommentText"/>
    <w:next w:val="CommentText"/>
    <w:link w:val="CommentSubjectChar"/>
    <w:rsid w:val="00AC70D1"/>
    <w:rPr>
      <w:b/>
      <w:bCs/>
    </w:rPr>
  </w:style>
  <w:style w:type="character" w:customStyle="1" w:styleId="CommentSubjectChar">
    <w:name w:val="Comment Subject Char"/>
    <w:link w:val="CommentSubject"/>
    <w:rsid w:val="00AC70D1"/>
    <w:rPr>
      <w:b/>
      <w:bCs/>
      <w:lang w:eastAsia="en-US"/>
    </w:rPr>
  </w:style>
  <w:style w:type="character" w:customStyle="1" w:styleId="HeaderChar">
    <w:name w:val="Header Char"/>
    <w:aliases w:val="6_G Char"/>
    <w:link w:val="Header"/>
    <w:rsid w:val="00DC3C20"/>
    <w:rPr>
      <w:b/>
      <w:sz w:val="18"/>
      <w:lang w:eastAsia="en-US"/>
    </w:rPr>
  </w:style>
  <w:style w:type="character" w:customStyle="1" w:styleId="FooterChar">
    <w:name w:val="Footer Char"/>
    <w:aliases w:val="3_G Char"/>
    <w:link w:val="Footer"/>
    <w:uiPriority w:val="99"/>
    <w:rsid w:val="00DC3C20"/>
    <w:rPr>
      <w:sz w:val="16"/>
      <w:lang w:eastAsia="en-US"/>
    </w:rPr>
  </w:style>
  <w:style w:type="character" w:customStyle="1" w:styleId="BalloonTextChar">
    <w:name w:val="Balloon Text Char"/>
    <w:link w:val="BalloonText"/>
    <w:rsid w:val="00DC3C20"/>
    <w:rPr>
      <w:rFonts w:ascii="Tahoma" w:hAnsi="Tahoma" w:cs="Tahoma"/>
      <w:sz w:val="16"/>
      <w:szCs w:val="16"/>
      <w:lang w:eastAsia="en-US"/>
    </w:rPr>
  </w:style>
  <w:style w:type="paragraph" w:styleId="DocumentMap">
    <w:name w:val="Document Map"/>
    <w:basedOn w:val="Normal"/>
    <w:link w:val="DocumentMapChar"/>
    <w:rsid w:val="00DC3C20"/>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link w:val="DocumentMap"/>
    <w:rsid w:val="00DC3C20"/>
    <w:rPr>
      <w:rFonts w:ascii="Tahoma" w:eastAsia="Calibri" w:hAnsi="Tahoma"/>
      <w:sz w:val="16"/>
      <w:szCs w:val="16"/>
      <w:lang w:val="en-US" w:eastAsia="zh-CN"/>
    </w:rPr>
  </w:style>
  <w:style w:type="character" w:customStyle="1" w:styleId="highlight1">
    <w:name w:val="highlight1"/>
    <w:rsid w:val="00DC3C20"/>
    <w:rPr>
      <w:shd w:val="clear" w:color="auto" w:fill="FFCC33"/>
    </w:rPr>
  </w:style>
  <w:style w:type="paragraph" w:styleId="NormalWeb">
    <w:name w:val="Normal (Web)"/>
    <w:basedOn w:val="Normal"/>
    <w:uiPriority w:val="99"/>
    <w:unhideWhenUsed/>
    <w:rsid w:val="00DC3C20"/>
    <w:pPr>
      <w:suppressAutoHyphens w:val="0"/>
      <w:spacing w:before="100" w:beforeAutospacing="1" w:after="100" w:afterAutospacing="1" w:line="240" w:lineRule="auto"/>
    </w:pPr>
    <w:rPr>
      <w:sz w:val="24"/>
      <w:szCs w:val="24"/>
      <w:lang w:eastAsia="en-GB"/>
    </w:rPr>
  </w:style>
  <w:style w:type="character" w:customStyle="1" w:styleId="hps">
    <w:name w:val="hps"/>
    <w:rsid w:val="00DC3C20"/>
  </w:style>
  <w:style w:type="character" w:customStyle="1" w:styleId="apple-converted-space">
    <w:name w:val="apple-converted-space"/>
    <w:rsid w:val="00DC3C20"/>
  </w:style>
  <w:style w:type="character" w:customStyle="1" w:styleId="highlight">
    <w:name w:val="highlight"/>
    <w:rsid w:val="00DC3C20"/>
  </w:style>
  <w:style w:type="numbering" w:customStyle="1" w:styleId="NoList1">
    <w:name w:val="No List1"/>
    <w:next w:val="NoList"/>
    <w:uiPriority w:val="99"/>
    <w:semiHidden/>
    <w:unhideWhenUsed/>
    <w:rsid w:val="000F0F0F"/>
  </w:style>
  <w:style w:type="paragraph" w:customStyle="1" w:styleId="ListParagraph1">
    <w:name w:val="List Paragraph1"/>
    <w:basedOn w:val="Normal"/>
    <w:uiPriority w:val="34"/>
    <w:qFormat/>
    <w:rsid w:val="000F0F0F"/>
    <w:pPr>
      <w:suppressAutoHyphens w:val="0"/>
      <w:spacing w:line="240" w:lineRule="auto"/>
      <w:ind w:left="720"/>
    </w:pPr>
    <w:rPr>
      <w:rFonts w:eastAsia="Malgun Gothic"/>
      <w:sz w:val="24"/>
      <w:szCs w:val="24"/>
      <w:lang w:val="en-US" w:eastAsia="zh-CN"/>
    </w:rPr>
  </w:style>
  <w:style w:type="character" w:customStyle="1" w:styleId="st1">
    <w:name w:val="st1"/>
    <w:rsid w:val="000F0F0F"/>
  </w:style>
  <w:style w:type="character" w:customStyle="1" w:styleId="apple-style-span">
    <w:name w:val="apple-style-span"/>
    <w:rsid w:val="000F0F0F"/>
  </w:style>
  <w:style w:type="character" w:styleId="HTMLTypewriter">
    <w:name w:val="HTML Typewriter"/>
    <w:uiPriority w:val="99"/>
    <w:unhideWhenUsed/>
    <w:rsid w:val="000F0F0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36113">
      <w:bodyDiv w:val="1"/>
      <w:marLeft w:val="0"/>
      <w:marRight w:val="0"/>
      <w:marTop w:val="0"/>
      <w:marBottom w:val="0"/>
      <w:divBdr>
        <w:top w:val="none" w:sz="0" w:space="0" w:color="auto"/>
        <w:left w:val="none" w:sz="0" w:space="0" w:color="auto"/>
        <w:bottom w:val="none" w:sz="0" w:space="0" w:color="auto"/>
        <w:right w:val="none" w:sz="0" w:space="0" w:color="auto"/>
      </w:divBdr>
      <w:divsChild>
        <w:div w:id="797841498">
          <w:marLeft w:val="0"/>
          <w:marRight w:val="0"/>
          <w:marTop w:val="0"/>
          <w:marBottom w:val="0"/>
          <w:divBdr>
            <w:top w:val="none" w:sz="0" w:space="0" w:color="auto"/>
            <w:left w:val="none" w:sz="0" w:space="0" w:color="auto"/>
            <w:bottom w:val="none" w:sz="0" w:space="0" w:color="auto"/>
            <w:right w:val="none" w:sz="0" w:space="0" w:color="auto"/>
          </w:divBdr>
        </w:div>
        <w:div w:id="851577181">
          <w:marLeft w:val="0"/>
          <w:marRight w:val="0"/>
          <w:marTop w:val="0"/>
          <w:marBottom w:val="0"/>
          <w:divBdr>
            <w:top w:val="none" w:sz="0" w:space="0" w:color="auto"/>
            <w:left w:val="none" w:sz="0" w:space="0" w:color="auto"/>
            <w:bottom w:val="none" w:sz="0" w:space="0" w:color="auto"/>
            <w:right w:val="none" w:sz="0" w:space="0" w:color="auto"/>
          </w:divBdr>
        </w:div>
        <w:div w:id="1098521997">
          <w:marLeft w:val="0"/>
          <w:marRight w:val="0"/>
          <w:marTop w:val="0"/>
          <w:marBottom w:val="0"/>
          <w:divBdr>
            <w:top w:val="none" w:sz="0" w:space="0" w:color="auto"/>
            <w:left w:val="none" w:sz="0" w:space="0" w:color="auto"/>
            <w:bottom w:val="none" w:sz="0" w:space="0" w:color="auto"/>
            <w:right w:val="none" w:sz="0" w:space="0" w:color="auto"/>
          </w:divBdr>
        </w:div>
        <w:div w:id="1151218638">
          <w:marLeft w:val="0"/>
          <w:marRight w:val="0"/>
          <w:marTop w:val="0"/>
          <w:marBottom w:val="0"/>
          <w:divBdr>
            <w:top w:val="none" w:sz="0" w:space="0" w:color="auto"/>
            <w:left w:val="none" w:sz="0" w:space="0" w:color="auto"/>
            <w:bottom w:val="none" w:sz="0" w:space="0" w:color="auto"/>
            <w:right w:val="none" w:sz="0" w:space="0" w:color="auto"/>
          </w:divBdr>
        </w:div>
      </w:divsChild>
    </w:div>
    <w:div w:id="532503288">
      <w:bodyDiv w:val="1"/>
      <w:marLeft w:val="0"/>
      <w:marRight w:val="0"/>
      <w:marTop w:val="0"/>
      <w:marBottom w:val="0"/>
      <w:divBdr>
        <w:top w:val="none" w:sz="0" w:space="0" w:color="auto"/>
        <w:left w:val="none" w:sz="0" w:space="0" w:color="auto"/>
        <w:bottom w:val="none" w:sz="0" w:space="0" w:color="auto"/>
        <w:right w:val="none" w:sz="0" w:space="0" w:color="auto"/>
      </w:divBdr>
    </w:div>
    <w:div w:id="1088387027">
      <w:bodyDiv w:val="1"/>
      <w:marLeft w:val="0"/>
      <w:marRight w:val="0"/>
      <w:marTop w:val="0"/>
      <w:marBottom w:val="0"/>
      <w:divBdr>
        <w:top w:val="none" w:sz="0" w:space="0" w:color="auto"/>
        <w:left w:val="none" w:sz="0" w:space="0" w:color="auto"/>
        <w:bottom w:val="none" w:sz="0" w:space="0" w:color="auto"/>
        <w:right w:val="none" w:sz="0" w:space="0" w:color="auto"/>
      </w:divBdr>
    </w:div>
    <w:div w:id="1137837671">
      <w:bodyDiv w:val="1"/>
      <w:marLeft w:val="0"/>
      <w:marRight w:val="0"/>
      <w:marTop w:val="0"/>
      <w:marBottom w:val="0"/>
      <w:divBdr>
        <w:top w:val="none" w:sz="0" w:space="0" w:color="auto"/>
        <w:left w:val="none" w:sz="0" w:space="0" w:color="auto"/>
        <w:bottom w:val="none" w:sz="0" w:space="0" w:color="auto"/>
        <w:right w:val="none" w:sz="0" w:space="0" w:color="auto"/>
      </w:divBdr>
      <w:divsChild>
        <w:div w:id="1317563141">
          <w:marLeft w:val="0"/>
          <w:marRight w:val="0"/>
          <w:marTop w:val="0"/>
          <w:marBottom w:val="0"/>
          <w:divBdr>
            <w:top w:val="none" w:sz="0" w:space="0" w:color="auto"/>
            <w:left w:val="none" w:sz="0" w:space="0" w:color="auto"/>
            <w:bottom w:val="none" w:sz="0" w:space="0" w:color="auto"/>
            <w:right w:val="none" w:sz="0" w:space="0" w:color="auto"/>
          </w:divBdr>
          <w:divsChild>
            <w:div w:id="1691295678">
              <w:marLeft w:val="0"/>
              <w:marRight w:val="0"/>
              <w:marTop w:val="0"/>
              <w:marBottom w:val="0"/>
              <w:divBdr>
                <w:top w:val="none" w:sz="0" w:space="0" w:color="auto"/>
                <w:left w:val="single" w:sz="12" w:space="4" w:color="000000"/>
                <w:bottom w:val="none" w:sz="0" w:space="0" w:color="auto"/>
                <w:right w:val="none" w:sz="0" w:space="0" w:color="auto"/>
              </w:divBdr>
              <w:divsChild>
                <w:div w:id="16918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47646">
      <w:bodyDiv w:val="1"/>
      <w:marLeft w:val="0"/>
      <w:marRight w:val="0"/>
      <w:marTop w:val="0"/>
      <w:marBottom w:val="0"/>
      <w:divBdr>
        <w:top w:val="none" w:sz="0" w:space="0" w:color="auto"/>
        <w:left w:val="none" w:sz="0" w:space="0" w:color="auto"/>
        <w:bottom w:val="none" w:sz="0" w:space="0" w:color="auto"/>
        <w:right w:val="none" w:sz="0" w:space="0" w:color="auto"/>
      </w:divBdr>
      <w:divsChild>
        <w:div w:id="1377583619">
          <w:marLeft w:val="0"/>
          <w:marRight w:val="0"/>
          <w:marTop w:val="0"/>
          <w:marBottom w:val="0"/>
          <w:divBdr>
            <w:top w:val="none" w:sz="0" w:space="0" w:color="auto"/>
            <w:left w:val="none" w:sz="0" w:space="0" w:color="auto"/>
            <w:bottom w:val="none" w:sz="0" w:space="0" w:color="auto"/>
            <w:right w:val="none" w:sz="0" w:space="0" w:color="auto"/>
          </w:divBdr>
          <w:divsChild>
            <w:div w:id="766076574">
              <w:marLeft w:val="0"/>
              <w:marRight w:val="0"/>
              <w:marTop w:val="0"/>
              <w:marBottom w:val="0"/>
              <w:divBdr>
                <w:top w:val="none" w:sz="0" w:space="0" w:color="auto"/>
                <w:left w:val="single" w:sz="12" w:space="4" w:color="000000"/>
                <w:bottom w:val="none" w:sz="0" w:space="0" w:color="auto"/>
                <w:right w:val="none" w:sz="0" w:space="0" w:color="auto"/>
              </w:divBdr>
              <w:divsChild>
                <w:div w:id="946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1773-EFD3-4528-9906-E0D25EDFCF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6C74C0-22B0-4F75-971A-1C5FFCC51EDE}">
  <ds:schemaRefs>
    <ds:schemaRef ds:uri="http://schemas.microsoft.com/sharepoint/v3/contenttype/forms"/>
  </ds:schemaRefs>
</ds:datastoreItem>
</file>

<file path=customXml/itemProps3.xml><?xml version="1.0" encoding="utf-8"?>
<ds:datastoreItem xmlns:ds="http://schemas.openxmlformats.org/officeDocument/2006/customXml" ds:itemID="{2066AF5E-8769-4656-8E1E-EAC32604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B18A8E-5758-4923-BE40-0EC1C605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5524</Words>
  <Characters>31490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default</dc:creator>
  <dc:description>Start 10 a.m.</dc:description>
  <cp:lastModifiedBy>Inspiron M5010</cp:lastModifiedBy>
  <cp:revision>2</cp:revision>
  <cp:lastPrinted>2015-01-28T11:00:00Z</cp:lastPrinted>
  <dcterms:created xsi:type="dcterms:W3CDTF">2015-02-26T00:26:00Z</dcterms:created>
  <dcterms:modified xsi:type="dcterms:W3CDTF">2015-02-26T00:26:00Z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1680707639</vt:i4>
  </property>
  <property fmtid="{D5CDD505-2E9C-101B-9397-08002B2CF9AE}" pid="3" name="ContentTypeId">
    <vt:lpwstr>0x0101007F18AF28EAB6004E88A60F194B4BE5E0</vt:lpwstr>
  </property>
</Properties>
</file>