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B1" w:rsidRPr="004D32A5" w:rsidRDefault="002432D5">
      <w:pPr>
        <w:rPr>
          <w:rFonts w:cs="Times New Roman"/>
          <w:sz w:val="36"/>
          <w:szCs w:val="36"/>
          <w:lang w:val="en-US"/>
        </w:rPr>
      </w:pPr>
      <w:r w:rsidRPr="004D32A5">
        <w:rPr>
          <w:rFonts w:cs="Times New Roman"/>
          <w:sz w:val="36"/>
          <w:szCs w:val="36"/>
          <w:lang w:val="en-US"/>
        </w:rPr>
        <w:t xml:space="preserve">Concluding observations </w:t>
      </w:r>
      <w:r w:rsidR="00EB1D3E" w:rsidRPr="004D32A5">
        <w:rPr>
          <w:rFonts w:cs="Times New Roman"/>
          <w:sz w:val="36"/>
          <w:szCs w:val="36"/>
          <w:lang w:val="en-US"/>
        </w:rPr>
        <w:t>for Hungary’s</w:t>
      </w:r>
      <w:r w:rsidRPr="004D32A5">
        <w:rPr>
          <w:rFonts w:cs="Times New Roman"/>
          <w:sz w:val="36"/>
          <w:szCs w:val="36"/>
          <w:lang w:val="en-US"/>
        </w:rPr>
        <w:t xml:space="preserve"> </w:t>
      </w:r>
      <w:r w:rsidRPr="004D32A5">
        <w:rPr>
          <w:rFonts w:cs="Times New Roman"/>
          <w:sz w:val="36"/>
          <w:szCs w:val="36"/>
        </w:rPr>
        <w:t>combined third, fourth and fifth periodic reports</w:t>
      </w:r>
    </w:p>
    <w:p w:rsidR="002432D5" w:rsidRPr="004D32A5" w:rsidRDefault="002432D5">
      <w:pPr>
        <w:rPr>
          <w:rFonts w:cs="Times New Roman"/>
          <w:lang w:val="en-US"/>
        </w:rPr>
      </w:pPr>
      <w:r w:rsidRPr="004D32A5">
        <w:rPr>
          <w:rFonts w:cs="Times New Roman"/>
        </w:rPr>
        <w:t>CRC/C/HUN/CO/3-5</w:t>
      </w:r>
    </w:p>
    <w:p w:rsidR="00674599" w:rsidRPr="004D32A5" w:rsidRDefault="00674599">
      <w:pPr>
        <w:rPr>
          <w:rFonts w:cs="Times New Roman"/>
          <w:i/>
          <w:lang w:val="en-US"/>
        </w:rPr>
      </w:pPr>
      <w:r w:rsidRPr="004D32A5">
        <w:rPr>
          <w:rFonts w:cs="Times New Roman"/>
          <w:i/>
          <w:lang w:val="en-US"/>
        </w:rPr>
        <w:t>Below is a short summary of some of the key issues from the Committee on the Rights of the Child’s 67</w:t>
      </w:r>
      <w:r w:rsidRPr="004D32A5">
        <w:rPr>
          <w:rFonts w:cs="Times New Roman"/>
          <w:i/>
          <w:vertAlign w:val="superscript"/>
          <w:lang w:val="en-US"/>
        </w:rPr>
        <w:t>th</w:t>
      </w:r>
      <w:r w:rsidRPr="004D32A5">
        <w:rPr>
          <w:rFonts w:cs="Times New Roman"/>
          <w:i/>
          <w:lang w:val="en-US"/>
        </w:rPr>
        <w:t xml:space="preserve"> session concluding observation for </w:t>
      </w:r>
      <w:proofErr w:type="spellStart"/>
      <w:r w:rsidRPr="004D32A5">
        <w:rPr>
          <w:rFonts w:cs="Times New Roman"/>
          <w:i/>
          <w:lang w:val="en-US"/>
        </w:rPr>
        <w:t>Hunagry’s</w:t>
      </w:r>
      <w:proofErr w:type="spellEnd"/>
      <w:r w:rsidRPr="004D32A5">
        <w:rPr>
          <w:rFonts w:cs="Times New Roman"/>
          <w:i/>
          <w:lang w:val="en-US"/>
        </w:rPr>
        <w:t xml:space="preserve"> combined third to </w:t>
      </w:r>
      <w:proofErr w:type="gramStart"/>
      <w:r w:rsidRPr="004D32A5">
        <w:rPr>
          <w:rFonts w:cs="Times New Roman"/>
          <w:i/>
          <w:lang w:val="en-US"/>
        </w:rPr>
        <w:t>fifth  periodic</w:t>
      </w:r>
      <w:proofErr w:type="gramEnd"/>
      <w:r w:rsidRPr="004D32A5">
        <w:rPr>
          <w:rFonts w:cs="Times New Roman"/>
          <w:i/>
          <w:lang w:val="en-US"/>
        </w:rPr>
        <w:t xml:space="preserve"> reports to the Convention on the Rights of the Child.</w:t>
      </w:r>
    </w:p>
    <w:p w:rsidR="004D32A5" w:rsidRPr="004D32A5" w:rsidRDefault="004D32A5" w:rsidP="004D32A5">
      <w:pPr>
        <w:spacing w:after="120" w:line="261" w:lineRule="auto"/>
        <w:ind w:right="1140"/>
        <w:jc w:val="both"/>
      </w:pPr>
      <w:r w:rsidRPr="004D32A5">
        <w:rPr>
          <w:i/>
        </w:rPr>
        <w:t>Read the full text here.</w:t>
      </w:r>
    </w:p>
    <w:p w:rsidR="004D32A5" w:rsidRPr="004D32A5" w:rsidRDefault="004D32A5" w:rsidP="004D32A5">
      <w:pPr>
        <w:spacing w:after="120" w:line="261" w:lineRule="auto"/>
        <w:ind w:right="1140"/>
        <w:jc w:val="both"/>
      </w:pPr>
      <w:r w:rsidRPr="004D32A5">
        <w:rPr>
          <w:i/>
        </w:rPr>
        <w:t>You can find other documents related to the Committee's 67th session (including alternative reports submitted by NGOs and the Committee's concluding observations for other States reviewed in this session) on</w:t>
      </w:r>
      <w:hyperlink r:id="rId6" w:history="1">
        <w:r w:rsidRPr="004D32A5">
          <w:rPr>
            <w:rStyle w:val="Hyperlink"/>
            <w:i/>
          </w:rPr>
          <w:t xml:space="preserve"> </w:t>
        </w:r>
      </w:hyperlink>
      <w:hyperlink r:id="rId7" w:history="1">
        <w:r w:rsidRPr="004D32A5">
          <w:rPr>
            <w:rStyle w:val="Hyperlink"/>
            <w:i/>
            <w:color w:val="1155CC"/>
          </w:rPr>
          <w:t>the Committee’s session page.</w:t>
        </w:r>
      </w:hyperlink>
    </w:p>
    <w:p w:rsidR="004D32A5" w:rsidRPr="004D32A5" w:rsidRDefault="004D32A5">
      <w:pPr>
        <w:rPr>
          <w:rFonts w:cs="Times New Roman"/>
          <w:i/>
        </w:rPr>
      </w:pPr>
    </w:p>
    <w:p w:rsidR="006C333C" w:rsidRPr="004D32A5" w:rsidRDefault="006C333C" w:rsidP="006C333C">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Non-discrimination</w:t>
      </w:r>
    </w:p>
    <w:p w:rsidR="006C333C" w:rsidRPr="004D32A5" w:rsidRDefault="00711FDA" w:rsidP="006C333C">
      <w:pPr>
        <w:suppressAutoHyphens/>
        <w:spacing w:after="120" w:line="240" w:lineRule="atLeast"/>
        <w:ind w:right="1134"/>
        <w:jc w:val="both"/>
        <w:rPr>
          <w:rFonts w:eastAsia="Malgun Gothic" w:cs="Times New Roman"/>
          <w:lang w:val="en-GB"/>
        </w:rPr>
      </w:pPr>
      <w:r w:rsidRPr="004D32A5">
        <w:rPr>
          <w:rFonts w:eastAsia="Malgun Gothic" w:cs="Times New Roman"/>
          <w:lang w:val="en-GB"/>
        </w:rPr>
        <w:t>T</w:t>
      </w:r>
      <w:r w:rsidR="004D32A5">
        <w:rPr>
          <w:rFonts w:eastAsia="Malgun Gothic" w:cs="Times New Roman"/>
          <w:lang w:val="en-GB"/>
        </w:rPr>
        <w:t>he Committee wa</w:t>
      </w:r>
      <w:r w:rsidR="006C333C" w:rsidRPr="004D32A5">
        <w:rPr>
          <w:rFonts w:eastAsia="Malgun Gothic" w:cs="Times New Roman"/>
          <w:lang w:val="en-GB"/>
        </w:rPr>
        <w:t>s concerned about the still prevalent discriminatory attitude of the public against children in marginalized and disadvantaged situations, such as children with disabilities, children living in other family forms than heterosexual marriage, children belonging to ethnic or religious minorities, children with different sexual identities as well as migrant and unaccompanied children, which has been exacerbated by the economic crisis and poverty. Furthermore, the Committee is concerned about the intrinsic gender stereotypes in the society, which have a signi</w:t>
      </w:r>
      <w:r w:rsidRPr="004D32A5">
        <w:rPr>
          <w:rFonts w:eastAsia="Malgun Gothic" w:cs="Times New Roman"/>
          <w:lang w:val="en-GB"/>
        </w:rPr>
        <w:t>ficant negative effect on girls (para.19).</w:t>
      </w:r>
    </w:p>
    <w:p w:rsidR="006C333C" w:rsidRPr="004D32A5" w:rsidRDefault="006C333C" w:rsidP="006C333C">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Respect for the views of the child:</w:t>
      </w:r>
    </w:p>
    <w:p w:rsidR="006C333C" w:rsidRPr="004D32A5" w:rsidRDefault="00875A08" w:rsidP="00875A08">
      <w:pPr>
        <w:suppressAutoHyphens/>
        <w:spacing w:after="120" w:line="240" w:lineRule="atLeast"/>
        <w:ind w:right="1134"/>
        <w:jc w:val="both"/>
        <w:rPr>
          <w:rFonts w:eastAsia="Malgun Gothic" w:cs="Times New Roman"/>
          <w:lang w:val="en-GB"/>
        </w:rPr>
      </w:pPr>
      <w:r w:rsidRPr="004D32A5">
        <w:rPr>
          <w:rFonts w:eastAsia="Malgun Gothic" w:cs="Times New Roman"/>
          <w:lang w:val="en-GB"/>
        </w:rPr>
        <w:t xml:space="preserve">The </w:t>
      </w:r>
      <w:r w:rsidR="00261C29" w:rsidRPr="004D32A5">
        <w:rPr>
          <w:rFonts w:eastAsia="Malgun Gothic" w:cs="Times New Roman"/>
          <w:lang w:val="en-GB"/>
        </w:rPr>
        <w:t>Committee was</w:t>
      </w:r>
      <w:r w:rsidR="006C333C" w:rsidRPr="004D32A5">
        <w:rPr>
          <w:rFonts w:eastAsia="Malgun Gothic" w:cs="Times New Roman"/>
          <w:lang w:val="en-GB"/>
        </w:rPr>
        <w:t xml:space="preserve"> concerned that under the Family Act children below the age of 14 years do not have an automatic right to be heard in decisions related to his or her custody and that in </w:t>
      </w:r>
      <w:proofErr w:type="gramStart"/>
      <w:r w:rsidR="006C333C" w:rsidRPr="004D32A5">
        <w:rPr>
          <w:rFonts w:eastAsia="Malgun Gothic" w:cs="Times New Roman"/>
          <w:lang w:val="en-GB"/>
        </w:rPr>
        <w:t>practice,</w:t>
      </w:r>
      <w:proofErr w:type="gramEnd"/>
      <w:r w:rsidR="006C333C" w:rsidRPr="004D32A5">
        <w:rPr>
          <w:rFonts w:eastAsia="Malgun Gothic" w:cs="Times New Roman"/>
          <w:lang w:val="en-GB"/>
        </w:rPr>
        <w:t xml:space="preserve"> children below the age of 14 are heard only as an exception even in divorce and child custody cases. </w:t>
      </w:r>
      <w:proofErr w:type="gramStart"/>
      <w:r w:rsidRPr="004D32A5">
        <w:rPr>
          <w:rFonts w:eastAsia="Malgun Gothic" w:cs="Times New Roman"/>
          <w:lang w:val="en-GB"/>
        </w:rPr>
        <w:t>(para.23).</w:t>
      </w:r>
      <w:proofErr w:type="gramEnd"/>
    </w:p>
    <w:p w:rsidR="006C333C" w:rsidRPr="004D32A5" w:rsidRDefault="006C333C" w:rsidP="006C333C">
      <w:pPr>
        <w:pStyle w:val="H23G"/>
        <w:rPr>
          <w:rFonts w:asciiTheme="minorHAnsi" w:eastAsia="Malgun Gothic" w:hAnsiTheme="minorHAnsi"/>
          <w:sz w:val="22"/>
          <w:szCs w:val="22"/>
          <w:lang w:eastAsia="zh-CN"/>
        </w:rPr>
      </w:pPr>
      <w:r w:rsidRPr="004D32A5">
        <w:rPr>
          <w:rFonts w:asciiTheme="minorHAnsi" w:eastAsia="Malgun Gothic" w:hAnsiTheme="minorHAnsi"/>
          <w:sz w:val="22"/>
          <w:szCs w:val="22"/>
          <w:lang w:eastAsia="zh-CN"/>
        </w:rPr>
        <w:t>Freedom of association and peaceful assembly</w:t>
      </w:r>
      <w:r w:rsidR="00875A08" w:rsidRPr="004D32A5">
        <w:rPr>
          <w:rFonts w:asciiTheme="minorHAnsi" w:eastAsia="Malgun Gothic" w:hAnsiTheme="minorHAnsi"/>
          <w:sz w:val="22"/>
          <w:szCs w:val="22"/>
          <w:lang w:eastAsia="zh-CN"/>
        </w:rPr>
        <w:t>:</w:t>
      </w:r>
    </w:p>
    <w:p w:rsidR="006C333C" w:rsidRPr="004D32A5" w:rsidRDefault="006C333C" w:rsidP="00875A08">
      <w:pPr>
        <w:pStyle w:val="SingleTxtG"/>
        <w:ind w:left="0"/>
        <w:rPr>
          <w:rFonts w:asciiTheme="minorHAnsi" w:eastAsia="Malgun Gothic" w:hAnsiTheme="minorHAnsi"/>
          <w:sz w:val="22"/>
          <w:szCs w:val="22"/>
        </w:rPr>
      </w:pPr>
      <w:r w:rsidRPr="004D32A5">
        <w:rPr>
          <w:rFonts w:asciiTheme="minorHAnsi" w:eastAsia="Malgun Gothic" w:hAnsiTheme="minorHAnsi"/>
          <w:sz w:val="22"/>
          <w:szCs w:val="22"/>
        </w:rPr>
        <w:t>The Committee recommends that the State party amend its legislation by abolishing age restrictions for management of associations</w:t>
      </w:r>
      <w:r w:rsidR="00D1075B" w:rsidRPr="004D32A5">
        <w:rPr>
          <w:rFonts w:asciiTheme="minorHAnsi" w:eastAsia="Malgun Gothic" w:hAnsiTheme="minorHAnsi"/>
          <w:sz w:val="22"/>
          <w:szCs w:val="22"/>
        </w:rPr>
        <w:t xml:space="preserve"> (14 years)</w:t>
      </w:r>
      <w:r w:rsidRPr="004D32A5">
        <w:rPr>
          <w:rFonts w:asciiTheme="minorHAnsi" w:eastAsia="Malgun Gothic" w:hAnsiTheme="minorHAnsi"/>
          <w:sz w:val="22"/>
          <w:szCs w:val="22"/>
        </w:rPr>
        <w:t>, especially those created by children themselves, with a view to ensuring that children fully enjoy and exercise their rights in compliance with t</w:t>
      </w:r>
      <w:r w:rsidR="00875A08" w:rsidRPr="004D32A5">
        <w:rPr>
          <w:rFonts w:asciiTheme="minorHAnsi" w:eastAsia="Malgun Gothic" w:hAnsiTheme="minorHAnsi"/>
          <w:sz w:val="22"/>
          <w:szCs w:val="22"/>
        </w:rPr>
        <w:t>he provisions of the Convention (para.</w:t>
      </w:r>
      <w:r w:rsidR="00D1075B" w:rsidRPr="004D32A5">
        <w:rPr>
          <w:rFonts w:asciiTheme="minorHAnsi" w:eastAsia="Malgun Gothic" w:hAnsiTheme="minorHAnsi"/>
          <w:sz w:val="22"/>
          <w:szCs w:val="22"/>
        </w:rPr>
        <w:t>25,</w:t>
      </w:r>
      <w:r w:rsidR="00875A08" w:rsidRPr="004D32A5">
        <w:rPr>
          <w:rFonts w:asciiTheme="minorHAnsi" w:eastAsia="Malgun Gothic" w:hAnsiTheme="minorHAnsi"/>
          <w:sz w:val="22"/>
          <w:szCs w:val="22"/>
        </w:rPr>
        <w:t>26).</w:t>
      </w:r>
    </w:p>
    <w:p w:rsidR="006C333C" w:rsidRPr="004D32A5" w:rsidRDefault="003F2453" w:rsidP="006C333C">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Child abuse and neglect</w:t>
      </w:r>
      <w:r w:rsidR="006C333C" w:rsidRPr="004D32A5">
        <w:rPr>
          <w:rFonts w:eastAsia="Malgun Gothic" w:cs="Times New Roman"/>
          <w:b/>
          <w:lang w:val="en-GB"/>
        </w:rPr>
        <w:t>:</w:t>
      </w:r>
    </w:p>
    <w:p w:rsidR="006C333C" w:rsidRPr="004D32A5" w:rsidRDefault="00010D54" w:rsidP="00875A08">
      <w:pPr>
        <w:suppressAutoHyphens/>
        <w:spacing w:after="120" w:line="240" w:lineRule="atLeast"/>
        <w:ind w:right="1134"/>
        <w:jc w:val="both"/>
        <w:rPr>
          <w:rFonts w:eastAsia="Malgun Gothic" w:cs="Times New Roman"/>
          <w:lang w:val="en-GB"/>
        </w:rPr>
      </w:pPr>
      <w:r w:rsidRPr="004D32A5">
        <w:rPr>
          <w:rFonts w:eastAsia="Malgun Gothic" w:cs="Times New Roman"/>
          <w:lang w:val="en-GB"/>
        </w:rPr>
        <w:t>The Committee was concerned about the lack of</w:t>
      </w:r>
      <w:r w:rsidR="006C333C" w:rsidRPr="004D32A5">
        <w:rPr>
          <w:rFonts w:eastAsia="Malgun Gothic" w:cs="Times New Roman"/>
          <w:lang w:val="en-GB"/>
        </w:rPr>
        <w:t xml:space="preserve"> timely and effective assistance and protection to children suffering from abuse and neglect as well as lack of prevention mechanisms, including awareness </w:t>
      </w:r>
      <w:proofErr w:type="gramStart"/>
      <w:r w:rsidR="006C333C" w:rsidRPr="004D32A5">
        <w:rPr>
          <w:rFonts w:eastAsia="Malgun Gothic" w:cs="Times New Roman"/>
          <w:lang w:val="en-GB"/>
        </w:rPr>
        <w:t>raising</w:t>
      </w:r>
      <w:proofErr w:type="gramEnd"/>
      <w:r w:rsidR="006C333C" w:rsidRPr="004D32A5">
        <w:rPr>
          <w:rFonts w:eastAsia="Malgun Gothic" w:cs="Times New Roman"/>
          <w:lang w:val="en-GB"/>
        </w:rPr>
        <w:t xml:space="preserve"> among children, parents and professionals working with and for children.  Furthermore, the Committee </w:t>
      </w:r>
      <w:r w:rsidRPr="004D32A5">
        <w:rPr>
          <w:rFonts w:eastAsia="Malgun Gothic" w:cs="Times New Roman"/>
          <w:lang w:val="en-GB"/>
        </w:rPr>
        <w:t>was</w:t>
      </w:r>
      <w:r w:rsidR="006C333C" w:rsidRPr="004D32A5">
        <w:rPr>
          <w:rFonts w:eastAsia="Malgun Gothic" w:cs="Times New Roman"/>
          <w:lang w:val="en-GB"/>
        </w:rPr>
        <w:t xml:space="preserve"> concerned that the State party lacks services to rehabilitate and assist child victims of n</w:t>
      </w:r>
      <w:r w:rsidR="00875A08" w:rsidRPr="004D32A5">
        <w:rPr>
          <w:rFonts w:eastAsia="Malgun Gothic" w:cs="Times New Roman"/>
          <w:lang w:val="en-GB"/>
        </w:rPr>
        <w:t>eglect, abuse and exploitation (para.29).</w:t>
      </w:r>
    </w:p>
    <w:p w:rsidR="006C333C" w:rsidRPr="004D32A5" w:rsidRDefault="00D60A20" w:rsidP="00D60A20">
      <w:pPr>
        <w:pStyle w:val="SingleTxtG"/>
        <w:ind w:left="0"/>
        <w:rPr>
          <w:rFonts w:asciiTheme="minorHAnsi" w:eastAsia="Malgun Gothic" w:hAnsiTheme="minorHAnsi"/>
          <w:b/>
          <w:sz w:val="22"/>
          <w:szCs w:val="22"/>
        </w:rPr>
      </w:pPr>
      <w:r w:rsidRPr="004D32A5">
        <w:rPr>
          <w:rFonts w:asciiTheme="minorHAnsi" w:eastAsia="Malgun Gothic" w:hAnsiTheme="minorHAnsi"/>
          <w:b/>
          <w:sz w:val="22"/>
          <w:szCs w:val="22"/>
        </w:rPr>
        <w:t>Corporal punishment:</w:t>
      </w:r>
    </w:p>
    <w:p w:rsidR="00D60A20" w:rsidRPr="004D32A5" w:rsidRDefault="004D16A6" w:rsidP="00875A08">
      <w:pPr>
        <w:suppressAutoHyphens/>
        <w:spacing w:after="120" w:line="240" w:lineRule="atLeast"/>
        <w:ind w:right="1134"/>
        <w:jc w:val="both"/>
        <w:rPr>
          <w:rFonts w:eastAsia="Malgun Gothic" w:cs="Times New Roman"/>
          <w:lang w:val="en-GB"/>
        </w:rPr>
      </w:pPr>
      <w:r w:rsidRPr="004D32A5">
        <w:rPr>
          <w:rFonts w:eastAsia="Malgun Gothic" w:cs="Times New Roman"/>
          <w:lang w:val="en-GB"/>
        </w:rPr>
        <w:t xml:space="preserve">The Committee urged the State party to implement legislation prohibiting all form of corporal punishment in all settings and </w:t>
      </w:r>
      <w:r w:rsidR="00D813FC" w:rsidRPr="004D32A5">
        <w:rPr>
          <w:rFonts w:eastAsia="Malgun Gothic" w:cs="Times New Roman"/>
          <w:lang w:val="en-GB"/>
        </w:rPr>
        <w:t>prohibit the use of force by school guards</w:t>
      </w:r>
      <w:proofErr w:type="gramStart"/>
      <w:r w:rsidR="00D813FC" w:rsidRPr="004D32A5">
        <w:rPr>
          <w:rFonts w:eastAsia="Malgun Gothic" w:cs="Times New Roman"/>
          <w:lang w:val="en-GB"/>
        </w:rPr>
        <w:t>.(</w:t>
      </w:r>
      <w:proofErr w:type="gramEnd"/>
      <w:r w:rsidR="00D813FC" w:rsidRPr="004D32A5">
        <w:rPr>
          <w:rFonts w:eastAsia="Malgun Gothic" w:cs="Times New Roman"/>
          <w:lang w:val="en-GB"/>
        </w:rPr>
        <w:t>para.34).</w:t>
      </w:r>
    </w:p>
    <w:p w:rsidR="00875A08" w:rsidRPr="004D32A5" w:rsidRDefault="00D60A20" w:rsidP="00875A08">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lastRenderedPageBreak/>
        <w:t>Separation from parents:</w:t>
      </w:r>
    </w:p>
    <w:p w:rsidR="00D60A20" w:rsidRPr="004D32A5" w:rsidRDefault="00875A08" w:rsidP="00875A08">
      <w:pPr>
        <w:suppressAutoHyphens/>
        <w:spacing w:after="120" w:line="240" w:lineRule="atLeast"/>
        <w:ind w:right="1134"/>
        <w:jc w:val="both"/>
        <w:rPr>
          <w:rFonts w:eastAsia="Malgun Gothic" w:cs="Times New Roman"/>
          <w:b/>
          <w:lang w:val="en-GB"/>
        </w:rPr>
      </w:pPr>
      <w:r w:rsidRPr="004D32A5">
        <w:rPr>
          <w:rFonts w:eastAsia="Malgun Gothic" w:cs="Times New Roman"/>
          <w:lang w:val="en-GB"/>
        </w:rPr>
        <w:t>T</w:t>
      </w:r>
      <w:r w:rsidR="00D60A20" w:rsidRPr="004D32A5">
        <w:rPr>
          <w:rFonts w:eastAsia="Malgun Gothic" w:cs="Times New Roman"/>
          <w:lang w:val="en-GB"/>
        </w:rPr>
        <w:t xml:space="preserve">he Committee is concerned about the increasing number of children who are taken away from their parents who live in poverty and are without a home due to unemployment, lack of social housing and lack of </w:t>
      </w:r>
      <w:r w:rsidRPr="004D32A5">
        <w:rPr>
          <w:rFonts w:eastAsia="Malgun Gothic" w:cs="Times New Roman"/>
          <w:lang w:val="en-GB"/>
        </w:rPr>
        <w:t>space in temporary family homes (para.36).</w:t>
      </w:r>
      <w:r w:rsidR="004D16A6" w:rsidRPr="004D32A5">
        <w:rPr>
          <w:rFonts w:eastAsia="Malgun Gothic" w:cs="Times New Roman"/>
          <w:b/>
          <w:lang w:val="en-GB"/>
        </w:rPr>
        <w:t xml:space="preserve"> </w:t>
      </w:r>
    </w:p>
    <w:p w:rsidR="0058529F" w:rsidRPr="004D32A5" w:rsidRDefault="0058529F" w:rsidP="004D16A6">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Children deprived of family environment:</w:t>
      </w:r>
    </w:p>
    <w:p w:rsidR="0058529F" w:rsidRPr="004D32A5" w:rsidRDefault="00875A08" w:rsidP="00E47FD1">
      <w:pPr>
        <w:suppressAutoHyphens/>
        <w:spacing w:after="120" w:line="240" w:lineRule="atLeast"/>
        <w:ind w:right="1134"/>
        <w:jc w:val="both"/>
        <w:rPr>
          <w:rFonts w:eastAsia="Malgun Gothic" w:cs="Times New Roman"/>
          <w:lang w:val="en-GB"/>
        </w:rPr>
      </w:pPr>
      <w:proofErr w:type="gramStart"/>
      <w:r w:rsidRPr="004D32A5">
        <w:rPr>
          <w:rFonts w:eastAsia="Malgun Gothic" w:cs="Times New Roman"/>
          <w:lang w:val="en-GB"/>
        </w:rPr>
        <w:t xml:space="preserve">The </w:t>
      </w:r>
      <w:r w:rsidR="0058529F" w:rsidRPr="004D32A5">
        <w:rPr>
          <w:rFonts w:eastAsia="Malgun Gothic" w:cs="Times New Roman"/>
          <w:lang w:val="en-GB"/>
        </w:rPr>
        <w:t xml:space="preserve"> Committee</w:t>
      </w:r>
      <w:proofErr w:type="gramEnd"/>
      <w:r w:rsidR="0058529F" w:rsidRPr="004D32A5">
        <w:rPr>
          <w:rFonts w:eastAsia="Malgun Gothic" w:cs="Times New Roman"/>
          <w:lang w:val="en-GB"/>
        </w:rPr>
        <w:t xml:space="preserve"> </w:t>
      </w:r>
      <w:r w:rsidR="004D16A6" w:rsidRPr="004D32A5">
        <w:rPr>
          <w:rFonts w:eastAsia="Malgun Gothic" w:cs="Times New Roman"/>
          <w:lang w:val="en-GB"/>
        </w:rPr>
        <w:t>recommended</w:t>
      </w:r>
      <w:r w:rsidR="00E47FD1" w:rsidRPr="004D32A5">
        <w:rPr>
          <w:rFonts w:eastAsia="Malgun Gothic" w:cs="Times New Roman"/>
          <w:lang w:val="en-GB"/>
        </w:rPr>
        <w:t xml:space="preserve"> that the State party </w:t>
      </w:r>
      <w:r w:rsidR="00E47FD1" w:rsidRPr="004D32A5">
        <w:rPr>
          <w:rFonts w:eastAsia="Times New Roman" w:cs="Times New Roman"/>
          <w:lang w:val="en-GB"/>
        </w:rPr>
        <w:t>t</w:t>
      </w:r>
      <w:r w:rsidR="0058529F" w:rsidRPr="004D32A5">
        <w:rPr>
          <w:rFonts w:eastAsia="Times New Roman" w:cs="Times New Roman"/>
          <w:lang w:val="en-GB"/>
        </w:rPr>
        <w:t>ake measures to ensure placement in institutional care  is used only as a last resort;</w:t>
      </w:r>
      <w:r w:rsidR="00E47FD1" w:rsidRPr="004D32A5">
        <w:rPr>
          <w:rFonts w:eastAsia="Malgun Gothic" w:cs="Times New Roman"/>
          <w:lang w:val="en-GB"/>
        </w:rPr>
        <w:t xml:space="preserve"> </w:t>
      </w:r>
      <w:r w:rsidR="0058529F" w:rsidRPr="004D32A5">
        <w:rPr>
          <w:rFonts w:eastAsia="Times New Roman" w:cs="Times New Roman"/>
          <w:lang w:val="en-GB"/>
        </w:rPr>
        <w:t xml:space="preserve">Ensure that children spend the shortest </w:t>
      </w:r>
      <w:r w:rsidR="00E3722A">
        <w:rPr>
          <w:rFonts w:eastAsia="Times New Roman" w:cs="Times New Roman"/>
          <w:lang w:val="en-GB"/>
        </w:rPr>
        <w:t>time possible in temporary care; T</w:t>
      </w:r>
      <w:r w:rsidR="0058529F" w:rsidRPr="004D32A5">
        <w:rPr>
          <w:rFonts w:eastAsia="Times New Roman" w:cs="Times New Roman"/>
          <w:lang w:val="en-GB"/>
        </w:rPr>
        <w:t>ake urgent measures to ensure State control over all services provided by the church</w:t>
      </w:r>
      <w:r w:rsidR="004D32A5">
        <w:rPr>
          <w:rFonts w:eastAsia="Times New Roman" w:cs="Times New Roman"/>
          <w:lang w:val="en-GB"/>
        </w:rPr>
        <w:t xml:space="preserve">; Take measures </w:t>
      </w:r>
      <w:r w:rsidR="0058529F" w:rsidRPr="004D32A5">
        <w:rPr>
          <w:rFonts w:eastAsia="Times New Roman" w:cs="Times New Roman"/>
          <w:lang w:val="en-GB"/>
        </w:rPr>
        <w:t xml:space="preserve">to limit the use of psychotropic drugs on children in public care and </w:t>
      </w:r>
      <w:r w:rsidR="00E47FD1" w:rsidRPr="004D32A5">
        <w:rPr>
          <w:rFonts w:eastAsia="Times New Roman" w:cs="Times New Roman"/>
          <w:lang w:val="en-GB"/>
        </w:rPr>
        <w:t>e</w:t>
      </w:r>
      <w:r w:rsidR="0058529F" w:rsidRPr="004D32A5">
        <w:rPr>
          <w:rFonts w:eastAsia="Times New Roman" w:cs="Times New Roman"/>
          <w:lang w:val="en-GB"/>
        </w:rPr>
        <w:t xml:space="preserve">nsure specialized homes for “problematic” children are used as a measure of last resort </w:t>
      </w:r>
      <w:r w:rsidR="00E47FD1" w:rsidRPr="004D32A5">
        <w:rPr>
          <w:rFonts w:eastAsia="Times New Roman" w:cs="Times New Roman"/>
          <w:lang w:val="en-GB"/>
        </w:rPr>
        <w:t>(para.39).</w:t>
      </w:r>
    </w:p>
    <w:p w:rsidR="0058529F" w:rsidRPr="004D32A5" w:rsidRDefault="0058529F" w:rsidP="00D73A0A">
      <w:pPr>
        <w:keepNext/>
        <w:keepLines/>
        <w:tabs>
          <w:tab w:val="right" w:pos="851"/>
        </w:tabs>
        <w:suppressAutoHyphens/>
        <w:spacing w:before="240" w:after="120" w:line="240" w:lineRule="exact"/>
        <w:ind w:right="1134"/>
        <w:rPr>
          <w:rFonts w:eastAsia="Calibri" w:cs="Times New Roman"/>
          <w:b/>
          <w:lang w:val="en-GB"/>
        </w:rPr>
      </w:pPr>
      <w:r w:rsidRPr="004D32A5">
        <w:rPr>
          <w:rFonts w:eastAsia="Calibri" w:cs="Times New Roman"/>
          <w:b/>
          <w:lang w:val="en-GB"/>
        </w:rPr>
        <w:t>Adoption</w:t>
      </w:r>
      <w:r w:rsidR="00D73A0A" w:rsidRPr="004D32A5">
        <w:rPr>
          <w:rFonts w:eastAsia="Calibri" w:cs="Times New Roman"/>
          <w:b/>
          <w:lang w:val="en-GB"/>
        </w:rPr>
        <w:t>:</w:t>
      </w:r>
    </w:p>
    <w:p w:rsidR="0058529F" w:rsidRPr="004D32A5" w:rsidRDefault="00330B22" w:rsidP="00D73A0A">
      <w:pPr>
        <w:suppressAutoHyphens/>
        <w:spacing w:after="120" w:line="240" w:lineRule="atLeast"/>
        <w:ind w:right="1134"/>
        <w:jc w:val="both"/>
        <w:rPr>
          <w:rFonts w:eastAsia="Malgun Gothic" w:cs="Times New Roman"/>
          <w:lang w:val="en-GB"/>
        </w:rPr>
      </w:pPr>
      <w:r w:rsidRPr="004D32A5">
        <w:rPr>
          <w:rFonts w:eastAsia="Malgun Gothic" w:cs="Times New Roman"/>
          <w:lang w:val="en-GB"/>
        </w:rPr>
        <w:t>The Committee recommended</w:t>
      </w:r>
      <w:r w:rsidR="0058529F" w:rsidRPr="004D32A5">
        <w:rPr>
          <w:rFonts w:eastAsia="Malgun Gothic" w:cs="Times New Roman"/>
          <w:lang w:val="en-GB"/>
        </w:rPr>
        <w:t xml:space="preserve"> that the State party take measures to remove unnecessary barriers for adoption of children in institutions, while at the same time ensuring proper screening of families where children are to be adopted. </w:t>
      </w:r>
      <w:r w:rsidR="003976DF">
        <w:rPr>
          <w:rFonts w:eastAsia="Malgun Gothic" w:cs="Times New Roman"/>
          <w:lang w:val="en-GB"/>
        </w:rPr>
        <w:t xml:space="preserve">It </w:t>
      </w:r>
      <w:r w:rsidRPr="004D32A5">
        <w:rPr>
          <w:rFonts w:eastAsia="Malgun Gothic" w:cs="Times New Roman"/>
          <w:lang w:val="en-GB"/>
        </w:rPr>
        <w:t>recommended</w:t>
      </w:r>
      <w:r w:rsidR="0058529F" w:rsidRPr="004D32A5">
        <w:rPr>
          <w:rFonts w:eastAsia="Malgun Gothic" w:cs="Times New Roman"/>
          <w:lang w:val="en-GB"/>
        </w:rPr>
        <w:t xml:space="preserve"> </w:t>
      </w:r>
      <w:r w:rsidRPr="004D32A5">
        <w:rPr>
          <w:rFonts w:eastAsia="Malgun Gothic" w:cs="Times New Roman"/>
          <w:lang w:val="en-GB"/>
        </w:rPr>
        <w:t>awareness-raising campaigns</w:t>
      </w:r>
      <w:r w:rsidR="0058529F" w:rsidRPr="004D32A5">
        <w:rPr>
          <w:rFonts w:eastAsia="Malgun Gothic" w:cs="Times New Roman"/>
          <w:lang w:val="en-GB"/>
        </w:rPr>
        <w:t xml:space="preserve"> in order to encourage adoption of children of older age, children with disabilities or chronic diseases and Roma children with a view to providing such children with an opportunity to </w:t>
      </w:r>
      <w:r w:rsidR="00D73A0A" w:rsidRPr="004D32A5">
        <w:rPr>
          <w:rFonts w:eastAsia="Malgun Gothic" w:cs="Times New Roman"/>
          <w:lang w:val="en-GB"/>
        </w:rPr>
        <w:t>grow up in a family environment (para.41).</w:t>
      </w:r>
    </w:p>
    <w:p w:rsidR="0058529F" w:rsidRPr="004D32A5" w:rsidRDefault="0058529F" w:rsidP="0058529F">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Children of incarcerated mothers:</w:t>
      </w:r>
    </w:p>
    <w:p w:rsidR="0058529F" w:rsidRPr="004D32A5" w:rsidRDefault="00D73A0A" w:rsidP="00D73A0A">
      <w:pPr>
        <w:suppressAutoHyphens/>
        <w:spacing w:after="120" w:line="240" w:lineRule="atLeast"/>
        <w:ind w:right="1134"/>
        <w:jc w:val="both"/>
        <w:rPr>
          <w:rFonts w:eastAsia="Malgun Gothic" w:cs="Times New Roman"/>
          <w:highlight w:val="yellow"/>
          <w:lang w:val="en-GB"/>
        </w:rPr>
      </w:pPr>
      <w:r w:rsidRPr="004D32A5">
        <w:rPr>
          <w:rFonts w:eastAsia="Malgun Gothic" w:cs="Times New Roman"/>
          <w:lang w:val="en-GB"/>
        </w:rPr>
        <w:t>The Committe</w:t>
      </w:r>
      <w:r w:rsidR="00330B22" w:rsidRPr="004D32A5">
        <w:rPr>
          <w:rFonts w:eastAsia="Malgun Gothic" w:cs="Times New Roman"/>
          <w:lang w:val="en-GB"/>
        </w:rPr>
        <w:t>e recommended</w:t>
      </w:r>
      <w:r w:rsidRPr="004D32A5">
        <w:rPr>
          <w:rFonts w:eastAsia="Malgun Gothic" w:cs="Times New Roman"/>
          <w:lang w:val="en-GB"/>
        </w:rPr>
        <w:t xml:space="preserve"> the State party </w:t>
      </w:r>
      <w:r w:rsidR="0058529F" w:rsidRPr="004D32A5">
        <w:rPr>
          <w:rFonts w:eastAsia="Malgun Gothic" w:cs="Times New Roman"/>
          <w:lang w:val="en-GB"/>
        </w:rPr>
        <w:t>take measures to enable children to v</w:t>
      </w:r>
      <w:r w:rsidRPr="004D32A5">
        <w:rPr>
          <w:rFonts w:eastAsia="Malgun Gothic" w:cs="Times New Roman"/>
          <w:lang w:val="en-GB"/>
        </w:rPr>
        <w:t>isit their incarcerated parents (para.43).</w:t>
      </w:r>
    </w:p>
    <w:p w:rsidR="0058529F" w:rsidRPr="004D32A5" w:rsidRDefault="00D73A0A" w:rsidP="0058529F">
      <w:pPr>
        <w:keepNext/>
        <w:keepLines/>
        <w:tabs>
          <w:tab w:val="right" w:pos="851"/>
        </w:tabs>
        <w:suppressAutoHyphens/>
        <w:spacing w:before="240" w:after="120" w:line="240" w:lineRule="exact"/>
        <w:ind w:left="1134" w:right="1134" w:hanging="1134"/>
        <w:rPr>
          <w:rFonts w:eastAsia="Times New Roman" w:cs="Times New Roman"/>
          <w:b/>
          <w:lang w:val="en-GB"/>
        </w:rPr>
      </w:pPr>
      <w:r w:rsidRPr="004D32A5">
        <w:rPr>
          <w:rFonts w:eastAsia="Times New Roman" w:cs="Times New Roman"/>
          <w:b/>
          <w:lang w:val="en-GB"/>
        </w:rPr>
        <w:t>Children with disabilities:</w:t>
      </w:r>
    </w:p>
    <w:p w:rsidR="0058529F" w:rsidRPr="004D32A5" w:rsidRDefault="00BC796B" w:rsidP="00BC796B">
      <w:pPr>
        <w:suppressAutoHyphens/>
        <w:spacing w:after="120" w:line="240" w:lineRule="atLeast"/>
        <w:ind w:right="1134"/>
        <w:jc w:val="both"/>
        <w:rPr>
          <w:rFonts w:eastAsia="Malgun Gothic" w:cs="Times New Roman"/>
          <w:lang w:val="en-GB"/>
        </w:rPr>
      </w:pPr>
      <w:r w:rsidRPr="004D32A5">
        <w:rPr>
          <w:rFonts w:eastAsia="Malgun Gothic" w:cs="Times New Roman"/>
          <w:lang w:val="en-GB"/>
        </w:rPr>
        <w:t xml:space="preserve">The </w:t>
      </w:r>
      <w:r w:rsidR="00496B4F" w:rsidRPr="004D32A5">
        <w:rPr>
          <w:rFonts w:eastAsia="Malgun Gothic" w:cs="Times New Roman"/>
          <w:lang w:val="en-GB"/>
        </w:rPr>
        <w:t>Committee recommended</w:t>
      </w:r>
      <w:r w:rsidR="0058529F" w:rsidRPr="004D32A5">
        <w:rPr>
          <w:rFonts w:eastAsia="Malgun Gothic" w:cs="Times New Roman"/>
          <w:lang w:val="en-GB"/>
        </w:rPr>
        <w:t xml:space="preserve"> that the State party take all necessary measures to:</w:t>
      </w:r>
      <w:r w:rsidRPr="004D32A5">
        <w:rPr>
          <w:rFonts w:eastAsia="Malgun Gothic" w:cs="Times New Roman"/>
          <w:lang w:val="en-GB"/>
        </w:rPr>
        <w:t xml:space="preserve"> </w:t>
      </w:r>
      <w:r w:rsidR="0058529F" w:rsidRPr="004D32A5">
        <w:rPr>
          <w:rFonts w:eastAsia="Malgun Gothic" w:cs="Times New Roman"/>
          <w:lang w:val="en-GB"/>
        </w:rPr>
        <w:t>Increase support, to families with children with disabilities</w:t>
      </w:r>
      <w:r w:rsidR="00C70B09">
        <w:rPr>
          <w:rFonts w:eastAsia="Malgun Gothic" w:cs="Times New Roman"/>
          <w:lang w:val="en-GB"/>
        </w:rPr>
        <w:t xml:space="preserve">; </w:t>
      </w:r>
      <w:r w:rsidR="0058529F" w:rsidRPr="004D32A5">
        <w:rPr>
          <w:rFonts w:eastAsia="Malgun Gothic" w:cs="Times New Roman"/>
          <w:lang w:val="en-GB"/>
        </w:rPr>
        <w:t>Prevent widespread institutionalizatio</w:t>
      </w:r>
      <w:r w:rsidR="00C70B09">
        <w:rPr>
          <w:rFonts w:eastAsia="Malgun Gothic" w:cs="Times New Roman"/>
          <w:lang w:val="en-GB"/>
        </w:rPr>
        <w:t xml:space="preserve">n of children with disabilities; </w:t>
      </w:r>
      <w:r w:rsidR="0058529F" w:rsidRPr="004D32A5">
        <w:rPr>
          <w:rFonts w:eastAsia="Malgun Gothic" w:cs="Times New Roman"/>
          <w:lang w:val="en-GB"/>
        </w:rPr>
        <w:t>Provide inclusive education for children with disabilities</w:t>
      </w:r>
      <w:r w:rsidR="00C70B09">
        <w:rPr>
          <w:rFonts w:eastAsia="Malgun Gothic" w:cs="Times New Roman"/>
          <w:lang w:val="en-GB"/>
        </w:rPr>
        <w:t>;</w:t>
      </w:r>
      <w:r w:rsidRPr="004D32A5">
        <w:rPr>
          <w:rFonts w:eastAsia="Malgun Gothic" w:cs="Times New Roman"/>
          <w:lang w:val="en-GB"/>
        </w:rPr>
        <w:t xml:space="preserve"> </w:t>
      </w:r>
      <w:r w:rsidR="0058529F" w:rsidRPr="004D32A5">
        <w:rPr>
          <w:rFonts w:eastAsia="Malgun Gothic" w:cs="Times New Roman"/>
          <w:lang w:val="en-GB"/>
        </w:rPr>
        <w:t xml:space="preserve">Remove any barriers for the enrolment of children with autism in regular schools; </w:t>
      </w:r>
      <w:r w:rsidRPr="004D32A5">
        <w:rPr>
          <w:rFonts w:eastAsia="Malgun Gothic" w:cs="Times New Roman"/>
          <w:lang w:val="en-GB"/>
        </w:rPr>
        <w:t>(para.45).</w:t>
      </w:r>
      <w:bookmarkStart w:id="0" w:name="_GoBack"/>
    </w:p>
    <w:bookmarkEnd w:id="0"/>
    <w:p w:rsidR="006C333C" w:rsidRPr="004D32A5" w:rsidRDefault="006508EE" w:rsidP="006C333C">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Health:</w:t>
      </w:r>
    </w:p>
    <w:p w:rsidR="00C70B09" w:rsidRPr="00C70B09" w:rsidRDefault="006C54E0" w:rsidP="00C70B09">
      <w:pPr>
        <w:pStyle w:val="SingleTxtG"/>
        <w:ind w:left="0"/>
        <w:rPr>
          <w:rFonts w:asciiTheme="minorHAnsi" w:eastAsia="Malgun Gothic" w:hAnsiTheme="minorHAnsi"/>
          <w:sz w:val="22"/>
          <w:szCs w:val="22"/>
        </w:rPr>
      </w:pPr>
      <w:r w:rsidRPr="00C70B09">
        <w:rPr>
          <w:rFonts w:asciiTheme="minorHAnsi" w:eastAsia="Malgun Gothic" w:hAnsiTheme="minorHAnsi"/>
          <w:sz w:val="22"/>
          <w:szCs w:val="22"/>
        </w:rPr>
        <w:t>The Committee recommended</w:t>
      </w:r>
      <w:r w:rsidR="0058529F" w:rsidRPr="00C70B09">
        <w:rPr>
          <w:rFonts w:asciiTheme="minorHAnsi" w:eastAsia="Malgun Gothic" w:hAnsiTheme="minorHAnsi"/>
          <w:sz w:val="22"/>
          <w:szCs w:val="22"/>
        </w:rPr>
        <w:t xml:space="preserve"> that the State party take measures to ensure that mandatory health insurance is extended to all children, without any discrimination. </w:t>
      </w:r>
      <w:r w:rsidR="00872911" w:rsidRPr="00C70B09">
        <w:rPr>
          <w:rFonts w:asciiTheme="minorHAnsi" w:eastAsia="Malgun Gothic" w:hAnsiTheme="minorHAnsi"/>
          <w:sz w:val="22"/>
          <w:szCs w:val="22"/>
        </w:rPr>
        <w:t>It recommended that health care facilities and personnel be available in all parts of the country, emphasising rural areas where it is deficient.</w:t>
      </w:r>
      <w:r w:rsidR="0058529F" w:rsidRPr="00C70B09">
        <w:rPr>
          <w:rFonts w:asciiTheme="minorHAnsi" w:eastAsia="Malgun Gothic" w:hAnsiTheme="minorHAnsi"/>
          <w:sz w:val="22"/>
          <w:szCs w:val="22"/>
        </w:rPr>
        <w:t xml:space="preserve"> </w:t>
      </w:r>
      <w:r w:rsidR="00F03F0A" w:rsidRPr="00C70B09">
        <w:rPr>
          <w:rFonts w:asciiTheme="minorHAnsi" w:eastAsia="Malgun Gothic" w:hAnsiTheme="minorHAnsi"/>
          <w:sz w:val="22"/>
          <w:szCs w:val="22"/>
        </w:rPr>
        <w:t>(para.47).</w:t>
      </w:r>
      <w:r w:rsidR="00C70B09" w:rsidRPr="00C70B09">
        <w:rPr>
          <w:rFonts w:eastAsia="Malgun Gothic"/>
          <w:sz w:val="22"/>
          <w:szCs w:val="22"/>
        </w:rPr>
        <w:t xml:space="preserve"> </w:t>
      </w:r>
      <w:r w:rsidR="00C70B09" w:rsidRPr="00C70B09">
        <w:rPr>
          <w:rFonts w:asciiTheme="minorHAnsi" w:eastAsia="Malgun Gothic" w:hAnsiTheme="minorHAnsi"/>
          <w:sz w:val="22"/>
          <w:szCs w:val="22"/>
        </w:rPr>
        <w:t>The Committee was concerned about the high rate of suicide among children and adolescents as well as the high rates of drug and a</w:t>
      </w:r>
      <w:r w:rsidR="00C70B09" w:rsidRPr="00C70B09">
        <w:rPr>
          <w:rFonts w:asciiTheme="minorHAnsi" w:eastAsia="Malgun Gothic" w:hAnsiTheme="minorHAnsi"/>
          <w:sz w:val="22"/>
          <w:szCs w:val="22"/>
        </w:rPr>
        <w:t xml:space="preserve">lcohol abuse among adolescents. </w:t>
      </w:r>
      <w:r w:rsidR="00C70B09" w:rsidRPr="00C70B09">
        <w:rPr>
          <w:rFonts w:asciiTheme="minorHAnsi" w:eastAsia="Malgun Gothic" w:hAnsiTheme="minorHAnsi"/>
          <w:sz w:val="22"/>
          <w:szCs w:val="22"/>
        </w:rPr>
        <w:t>The Committee recommended that the State party take measures to prevent unwanted pregnancies and abortions among teenage girls (para.49).</w:t>
      </w:r>
    </w:p>
    <w:p w:rsidR="0058529F" w:rsidRPr="004D32A5" w:rsidRDefault="0058529F" w:rsidP="00F03F0A">
      <w:pPr>
        <w:suppressAutoHyphens/>
        <w:spacing w:after="120" w:line="240" w:lineRule="atLeast"/>
        <w:ind w:right="1134"/>
        <w:jc w:val="both"/>
        <w:rPr>
          <w:rFonts w:eastAsia="Malgun Gothic" w:cs="Times New Roman"/>
          <w:lang w:val="en-GB"/>
        </w:rPr>
      </w:pPr>
    </w:p>
    <w:p w:rsidR="0058529F" w:rsidRPr="004D32A5" w:rsidRDefault="0058529F" w:rsidP="00F15201">
      <w:pPr>
        <w:keepNext/>
        <w:keepLines/>
        <w:tabs>
          <w:tab w:val="right" w:pos="851"/>
        </w:tabs>
        <w:suppressAutoHyphens/>
        <w:spacing w:before="240" w:after="120" w:line="240" w:lineRule="exact"/>
        <w:ind w:right="1134"/>
        <w:rPr>
          <w:rFonts w:eastAsia="Malgun Gothic" w:cs="Times New Roman"/>
          <w:b/>
          <w:lang w:val="en-GB"/>
        </w:rPr>
      </w:pPr>
      <w:r w:rsidRPr="004D32A5">
        <w:rPr>
          <w:rFonts w:eastAsia="Malgun Gothic" w:cs="Times New Roman"/>
          <w:b/>
          <w:lang w:val="en-GB"/>
        </w:rPr>
        <w:t>Breastfeeding</w:t>
      </w:r>
      <w:r w:rsidR="00F15201" w:rsidRPr="004D32A5">
        <w:rPr>
          <w:rFonts w:eastAsia="Malgun Gothic" w:cs="Times New Roman"/>
          <w:b/>
          <w:lang w:val="en-GB"/>
        </w:rPr>
        <w:t>:</w:t>
      </w:r>
    </w:p>
    <w:p w:rsidR="0058529F" w:rsidRPr="004D32A5" w:rsidRDefault="006508EE" w:rsidP="00F15201">
      <w:pPr>
        <w:suppressAutoHyphens/>
        <w:spacing w:after="120" w:line="240" w:lineRule="atLeast"/>
        <w:ind w:right="1134"/>
        <w:jc w:val="both"/>
        <w:rPr>
          <w:rFonts w:eastAsia="Malgun Gothic" w:cs="Times New Roman"/>
          <w:highlight w:val="yellow"/>
          <w:lang w:val="en-GB"/>
        </w:rPr>
      </w:pPr>
      <w:r w:rsidRPr="004D32A5">
        <w:rPr>
          <w:rFonts w:eastAsia="Malgun Gothic" w:cs="Times New Roman"/>
          <w:lang w:val="en-GB"/>
        </w:rPr>
        <w:t>The Committee recommended</w:t>
      </w:r>
      <w:r w:rsidR="0058529F" w:rsidRPr="004D32A5">
        <w:rPr>
          <w:rFonts w:eastAsia="Malgun Gothic" w:cs="Times New Roman"/>
          <w:lang w:val="en-GB"/>
        </w:rPr>
        <w:t xml:space="preserve"> that the State party take all necessary measures to encourage exclusive breastfeeding of infants until 6 months of age and provide data on the rate of breastfeeding in its next periodic repor</w:t>
      </w:r>
      <w:r w:rsidR="00C70B09">
        <w:rPr>
          <w:rFonts w:eastAsia="Malgun Gothic" w:cs="Times New Roman"/>
          <w:lang w:val="en-GB"/>
        </w:rPr>
        <w:t xml:space="preserve">t </w:t>
      </w:r>
      <w:r w:rsidR="00F15201" w:rsidRPr="004D32A5">
        <w:rPr>
          <w:rFonts w:eastAsia="Malgun Gothic" w:cs="Times New Roman"/>
          <w:lang w:val="en-GB"/>
        </w:rPr>
        <w:t>(para.51).</w:t>
      </w:r>
    </w:p>
    <w:p w:rsidR="00F15201" w:rsidRPr="004D32A5" w:rsidRDefault="0058529F" w:rsidP="00F15201">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Education:</w:t>
      </w:r>
    </w:p>
    <w:p w:rsidR="0058529F" w:rsidRPr="004D32A5" w:rsidRDefault="00F15201" w:rsidP="00F15201">
      <w:pPr>
        <w:suppressAutoHyphens/>
        <w:spacing w:after="120" w:line="240" w:lineRule="atLeast"/>
        <w:ind w:right="1134"/>
        <w:jc w:val="both"/>
        <w:rPr>
          <w:rFonts w:eastAsia="Malgun Gothic" w:cs="Times New Roman"/>
          <w:lang w:val="en-GB"/>
        </w:rPr>
      </w:pPr>
      <w:r w:rsidRPr="004D32A5">
        <w:rPr>
          <w:rFonts w:eastAsia="Malgun Gothic" w:cs="Times New Roman"/>
          <w:lang w:val="en-GB"/>
        </w:rPr>
        <w:lastRenderedPageBreak/>
        <w:t>The</w:t>
      </w:r>
      <w:r w:rsidR="0058529F" w:rsidRPr="004D32A5">
        <w:rPr>
          <w:rFonts w:eastAsia="Malgun Gothic" w:cs="Times New Roman"/>
          <w:lang w:val="en-GB"/>
        </w:rPr>
        <w:t xml:space="preserve"> Committee </w:t>
      </w:r>
      <w:r w:rsidR="006508EE" w:rsidRPr="004D32A5">
        <w:rPr>
          <w:rFonts w:eastAsia="Malgun Gothic" w:cs="Times New Roman"/>
          <w:lang w:val="en-GB"/>
        </w:rPr>
        <w:t>recommended</w:t>
      </w:r>
      <w:r w:rsidRPr="004D32A5">
        <w:rPr>
          <w:rFonts w:eastAsia="Malgun Gothic" w:cs="Times New Roman"/>
          <w:lang w:val="en-GB"/>
        </w:rPr>
        <w:t xml:space="preserve"> that the State party r</w:t>
      </w:r>
      <w:r w:rsidR="0058529F" w:rsidRPr="004D32A5">
        <w:rPr>
          <w:rFonts w:eastAsia="Malgun Gothic" w:cs="Times New Roman"/>
          <w:lang w:val="en-GB"/>
        </w:rPr>
        <w:t>einstate the age of compulsory education from 16 to 18 years;</w:t>
      </w:r>
      <w:r w:rsidRPr="004D32A5">
        <w:rPr>
          <w:rFonts w:eastAsia="Malgun Gothic" w:cs="Times New Roman"/>
          <w:lang w:val="en-GB"/>
        </w:rPr>
        <w:t xml:space="preserve"> </w:t>
      </w:r>
      <w:r w:rsidR="0058529F" w:rsidRPr="004D32A5">
        <w:rPr>
          <w:rFonts w:eastAsia="Malgun Gothic" w:cs="Times New Roman"/>
          <w:lang w:val="en-GB"/>
        </w:rPr>
        <w:t xml:space="preserve">Continue its efforts to provide inclusive education for children belonging to the Roma community in mainstream schools; Take measures to ensure access to education to all children in the territory of the State party regardless of the status of their asylum application; </w:t>
      </w:r>
      <w:r w:rsidR="006508EE" w:rsidRPr="004D32A5">
        <w:rPr>
          <w:rFonts w:eastAsia="Malgun Gothic" w:cs="Times New Roman"/>
          <w:lang w:val="en-GB"/>
        </w:rPr>
        <w:t>(</w:t>
      </w:r>
      <w:r w:rsidRPr="004D32A5">
        <w:rPr>
          <w:rFonts w:eastAsia="Malgun Gothic" w:cs="Times New Roman"/>
          <w:lang w:val="en-GB"/>
        </w:rPr>
        <w:t>para.52).</w:t>
      </w:r>
    </w:p>
    <w:p w:rsidR="0058529F" w:rsidRPr="004D32A5" w:rsidRDefault="0058529F" w:rsidP="0058529F">
      <w:pPr>
        <w:suppressAutoHyphens/>
        <w:spacing w:after="120" w:line="240" w:lineRule="atLeast"/>
        <w:ind w:right="1134"/>
        <w:jc w:val="both"/>
        <w:rPr>
          <w:rFonts w:eastAsia="Malgun Gothic" w:cs="Times New Roman"/>
          <w:b/>
          <w:lang w:val="en-GB"/>
        </w:rPr>
      </w:pPr>
      <w:r w:rsidRPr="004D32A5">
        <w:rPr>
          <w:rFonts w:eastAsia="Malgun Gothic" w:cs="Times New Roman"/>
          <w:b/>
          <w:lang w:val="en-GB"/>
        </w:rPr>
        <w:t>Unacc</w:t>
      </w:r>
      <w:r w:rsidR="00D6716E" w:rsidRPr="004D32A5">
        <w:rPr>
          <w:rFonts w:eastAsia="Malgun Gothic" w:cs="Times New Roman"/>
          <w:b/>
          <w:lang w:val="en-GB"/>
        </w:rPr>
        <w:t>ompanied and refu</w:t>
      </w:r>
      <w:r w:rsidRPr="004D32A5">
        <w:rPr>
          <w:rFonts w:eastAsia="Malgun Gothic" w:cs="Times New Roman"/>
          <w:b/>
          <w:lang w:val="en-GB"/>
        </w:rPr>
        <w:t>gee children:</w:t>
      </w:r>
    </w:p>
    <w:p w:rsidR="0058529F" w:rsidRPr="004D32A5" w:rsidRDefault="006508EE" w:rsidP="00D6716E">
      <w:pPr>
        <w:suppressAutoHyphens/>
        <w:spacing w:after="120" w:line="240" w:lineRule="atLeast"/>
        <w:ind w:right="1134"/>
        <w:jc w:val="both"/>
        <w:rPr>
          <w:rFonts w:eastAsia="Malgun Gothic" w:cs="Times New Roman"/>
          <w:lang w:val="en-GB"/>
        </w:rPr>
      </w:pPr>
      <w:r w:rsidRPr="004D32A5">
        <w:rPr>
          <w:rFonts w:eastAsia="Malgun Gothic" w:cs="Times New Roman"/>
          <w:lang w:val="en-GB"/>
        </w:rPr>
        <w:t>The Committee recommended</w:t>
      </w:r>
      <w:r w:rsidR="0058529F" w:rsidRPr="004D32A5">
        <w:rPr>
          <w:rFonts w:eastAsia="Malgun Gothic" w:cs="Times New Roman"/>
          <w:lang w:val="en-GB"/>
        </w:rPr>
        <w:t xml:space="preserve"> that the State party ensure that asylum seeking, unaccompanied and migrant children are not administratively detained under any circumstance. It also recommends that age assessment tests take into account all aspects, including psychological and environmental aspects,</w:t>
      </w:r>
      <w:r w:rsidR="00D6716E" w:rsidRPr="004D32A5">
        <w:rPr>
          <w:rFonts w:eastAsia="Malgun Gothic" w:cs="Times New Roman"/>
          <w:lang w:val="en-GB"/>
        </w:rPr>
        <w:t xml:space="preserve"> of the person under assessment (para.55).</w:t>
      </w:r>
    </w:p>
    <w:p w:rsidR="0058529F" w:rsidRPr="004D32A5" w:rsidRDefault="00CC4DAF" w:rsidP="0058529F">
      <w:pPr>
        <w:keepNext/>
        <w:keepLines/>
        <w:tabs>
          <w:tab w:val="right" w:pos="851"/>
        </w:tabs>
        <w:suppressAutoHyphens/>
        <w:spacing w:before="240" w:after="120" w:line="240" w:lineRule="exact"/>
        <w:ind w:left="1134" w:right="1134" w:hanging="1134"/>
        <w:rPr>
          <w:rFonts w:eastAsia="Malgun Gothic" w:cs="Times New Roman"/>
          <w:b/>
          <w:lang w:val="en-GB"/>
        </w:rPr>
      </w:pPr>
      <w:r w:rsidRPr="004D32A5">
        <w:rPr>
          <w:rFonts w:eastAsia="Malgun Gothic" w:cs="Times New Roman"/>
          <w:b/>
          <w:lang w:val="en-GB"/>
        </w:rPr>
        <w:t>Juvenile</w:t>
      </w:r>
      <w:r w:rsidR="0058529F" w:rsidRPr="004D32A5">
        <w:rPr>
          <w:rFonts w:eastAsia="Malgun Gothic" w:cs="Times New Roman"/>
          <w:b/>
          <w:lang w:val="en-GB"/>
        </w:rPr>
        <w:t xml:space="preserve"> justice</w:t>
      </w:r>
      <w:r w:rsidR="00D6716E" w:rsidRPr="004D32A5">
        <w:rPr>
          <w:rFonts w:eastAsia="Malgun Gothic" w:cs="Times New Roman"/>
          <w:b/>
          <w:lang w:val="en-GB"/>
        </w:rPr>
        <w:t>:</w:t>
      </w:r>
    </w:p>
    <w:p w:rsidR="0058529F" w:rsidRPr="004D32A5" w:rsidRDefault="00D6716E" w:rsidP="00D6716E">
      <w:pPr>
        <w:suppressAutoHyphens/>
        <w:spacing w:after="120" w:line="240" w:lineRule="atLeast"/>
        <w:ind w:right="1134"/>
        <w:jc w:val="both"/>
        <w:rPr>
          <w:rFonts w:eastAsia="Malgun Gothic" w:cs="Times New Roman"/>
          <w:lang w:val="en-GB"/>
        </w:rPr>
      </w:pPr>
      <w:r w:rsidRPr="004D32A5">
        <w:rPr>
          <w:rFonts w:eastAsia="Malgun Gothic" w:cs="Times New Roman"/>
          <w:lang w:val="en-GB"/>
        </w:rPr>
        <w:t>The</w:t>
      </w:r>
      <w:r w:rsidR="0058529F" w:rsidRPr="004D32A5">
        <w:rPr>
          <w:rFonts w:eastAsia="Malgun Gothic" w:cs="Times New Roman"/>
          <w:lang w:val="en-GB"/>
        </w:rPr>
        <w:t xml:space="preserve"> </w:t>
      </w:r>
      <w:r w:rsidR="006508EE" w:rsidRPr="004D32A5">
        <w:rPr>
          <w:rFonts w:eastAsia="Malgun Gothic" w:cs="Times New Roman"/>
          <w:lang w:val="en-GB"/>
        </w:rPr>
        <w:t>Committee urged</w:t>
      </w:r>
      <w:r w:rsidRPr="004D32A5">
        <w:rPr>
          <w:rFonts w:eastAsia="Malgun Gothic" w:cs="Times New Roman"/>
          <w:lang w:val="en-GB"/>
        </w:rPr>
        <w:t xml:space="preserve"> the State party </w:t>
      </w:r>
      <w:r w:rsidRPr="004D32A5">
        <w:rPr>
          <w:rFonts w:eastAsia="Malgun Gothic" w:cs="Times New Roman"/>
          <w:lang w:val="en-GB" w:eastAsia="zh-CN"/>
        </w:rPr>
        <w:t>r</w:t>
      </w:r>
      <w:r w:rsidR="0058529F" w:rsidRPr="004D32A5">
        <w:rPr>
          <w:rFonts w:eastAsia="Malgun Gothic" w:cs="Times New Roman"/>
          <w:lang w:val="en-GB" w:eastAsia="zh-CN"/>
        </w:rPr>
        <w:t>einstate the juvenile courts with judges who have undergone a special training;</w:t>
      </w:r>
      <w:r w:rsidRPr="004D32A5">
        <w:rPr>
          <w:rFonts w:eastAsia="Malgun Gothic" w:cs="Times New Roman"/>
          <w:lang w:val="en-GB"/>
        </w:rPr>
        <w:t xml:space="preserve"> </w:t>
      </w:r>
      <w:r w:rsidR="0058529F" w:rsidRPr="004D32A5">
        <w:rPr>
          <w:rFonts w:eastAsia="Malgun Gothic" w:cs="Times New Roman"/>
          <w:bCs/>
          <w:lang w:val="en-GB" w:eastAsia="zh-CN"/>
        </w:rPr>
        <w:t>Take measures to increase the age of criminal responsibility from 12 years back to 14 years even for the most serious crimes;</w:t>
      </w:r>
      <w:r w:rsidRPr="004D32A5">
        <w:rPr>
          <w:rFonts w:eastAsia="Malgun Gothic" w:cs="Times New Roman"/>
          <w:lang w:val="en-GB"/>
        </w:rPr>
        <w:t xml:space="preserve"> </w:t>
      </w:r>
      <w:r w:rsidR="0058529F" w:rsidRPr="004D32A5">
        <w:rPr>
          <w:rFonts w:eastAsia="Malgun Gothic" w:cs="Times New Roman"/>
          <w:bCs/>
          <w:lang w:val="en-GB" w:eastAsia="zh-CN"/>
        </w:rPr>
        <w:t>Ensure that detention of children is used only as a measure of last resort and for the shortest possible time;</w:t>
      </w:r>
      <w:r w:rsidRPr="004D32A5">
        <w:rPr>
          <w:rFonts w:eastAsia="Malgun Gothic" w:cs="Times New Roman"/>
          <w:lang w:val="en-GB"/>
        </w:rPr>
        <w:t xml:space="preserve"> </w:t>
      </w:r>
      <w:r w:rsidR="0058529F" w:rsidRPr="004D32A5">
        <w:rPr>
          <w:rFonts w:eastAsia="Malgun Gothic" w:cs="Times New Roman"/>
          <w:bCs/>
          <w:lang w:val="en-GB" w:eastAsia="zh-CN"/>
        </w:rPr>
        <w:t>Abolish the practice of sentencing children to prison terms for petty crimes</w:t>
      </w:r>
      <w:r w:rsidR="00C70B09">
        <w:rPr>
          <w:rFonts w:eastAsia="Malgun Gothic" w:cs="Times New Roman"/>
          <w:bCs/>
          <w:lang w:val="en-GB" w:eastAsia="zh-CN"/>
        </w:rPr>
        <w:t xml:space="preserve"> </w:t>
      </w:r>
      <w:r w:rsidRPr="004D32A5">
        <w:rPr>
          <w:rFonts w:eastAsia="Malgun Gothic" w:cs="Times New Roman"/>
          <w:bCs/>
          <w:lang w:val="en-GB" w:eastAsia="zh-CN"/>
        </w:rPr>
        <w:t>(para.57).</w:t>
      </w:r>
    </w:p>
    <w:p w:rsidR="0058529F" w:rsidRPr="004D32A5" w:rsidRDefault="0058529F" w:rsidP="0058529F">
      <w:pPr>
        <w:keepNext/>
        <w:keepLines/>
        <w:tabs>
          <w:tab w:val="right" w:pos="851"/>
        </w:tabs>
        <w:suppressAutoHyphens/>
        <w:spacing w:before="240" w:after="120" w:line="240" w:lineRule="exact"/>
        <w:ind w:left="1134" w:right="1134" w:hanging="1134"/>
        <w:rPr>
          <w:rFonts w:eastAsia="Malgun Gothic" w:cs="Times New Roman"/>
          <w:b/>
          <w:lang w:val="en-GB" w:eastAsia="zh-CN"/>
        </w:rPr>
      </w:pPr>
      <w:r w:rsidRPr="004D32A5">
        <w:rPr>
          <w:rFonts w:eastAsia="Malgun Gothic" w:cs="Times New Roman"/>
          <w:b/>
          <w:lang w:val="en-GB" w:eastAsia="zh-CN"/>
        </w:rPr>
        <w:t>Child victims and witnesses of crimes</w:t>
      </w:r>
      <w:r w:rsidR="00D6716E" w:rsidRPr="004D32A5">
        <w:rPr>
          <w:rFonts w:eastAsia="Malgun Gothic" w:cs="Times New Roman"/>
          <w:b/>
          <w:lang w:val="en-GB" w:eastAsia="zh-CN"/>
        </w:rPr>
        <w:t>:</w:t>
      </w:r>
    </w:p>
    <w:p w:rsidR="002432D5" w:rsidRPr="00C70B09" w:rsidRDefault="006508EE" w:rsidP="00C70B09">
      <w:pPr>
        <w:suppressAutoHyphens/>
        <w:spacing w:after="120" w:line="240" w:lineRule="atLeast"/>
        <w:ind w:right="1134"/>
        <w:jc w:val="both"/>
        <w:rPr>
          <w:rFonts w:eastAsia="Malgun Gothic" w:cs="Times New Roman"/>
          <w:lang w:val="en-GB"/>
        </w:rPr>
      </w:pPr>
      <w:r w:rsidRPr="004D32A5">
        <w:rPr>
          <w:rFonts w:eastAsia="Malgun Gothic" w:cs="Times New Roman"/>
          <w:lang w:val="en-GB"/>
        </w:rPr>
        <w:t>The Committee recommended</w:t>
      </w:r>
      <w:r w:rsidR="0058529F" w:rsidRPr="004D32A5">
        <w:rPr>
          <w:rFonts w:eastAsia="Malgun Gothic" w:cs="Times New Roman"/>
          <w:lang w:val="en-GB"/>
        </w:rPr>
        <w:t xml:space="preserve"> that the State party ensure, through adequate legal provisions and regulations, that all children victims and/or witnesses of crimes are provided with the protection required by the Convention</w:t>
      </w:r>
      <w:r w:rsidR="00855B78" w:rsidRPr="004D32A5">
        <w:rPr>
          <w:rFonts w:eastAsia="Malgun Gothic" w:cs="Times New Roman"/>
          <w:lang w:val="en-GB"/>
        </w:rPr>
        <w:t xml:space="preserve"> and by the UN </w:t>
      </w:r>
      <w:r w:rsidR="0058529F" w:rsidRPr="004D32A5">
        <w:rPr>
          <w:rFonts w:eastAsia="Malgun Gothic" w:cs="Times New Roman"/>
          <w:lang w:val="en-GB"/>
        </w:rPr>
        <w:t xml:space="preserve">on Justice in Matters Involving Child Victims and Witnesses of Crime </w:t>
      </w:r>
      <w:r w:rsidR="00D6716E" w:rsidRPr="004D32A5">
        <w:rPr>
          <w:rFonts w:eastAsia="Malgun Gothic" w:cs="Times New Roman"/>
          <w:lang w:val="en-GB"/>
        </w:rPr>
        <w:t>(para.59).</w:t>
      </w:r>
    </w:p>
    <w:sectPr w:rsidR="002432D5" w:rsidRPr="00C70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C73"/>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nsid w:val="19260061"/>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215978D6"/>
    <w:multiLevelType w:val="hybridMultilevel"/>
    <w:tmpl w:val="71FAF474"/>
    <w:lvl w:ilvl="0" w:tplc="23DAC6FE">
      <w:start w:val="1"/>
      <w:numFmt w:val="lowerLetter"/>
      <w:lvlText w:val="(%1)"/>
      <w:lvlJc w:val="left"/>
      <w:pPr>
        <w:ind w:left="2062" w:hanging="360"/>
      </w:pPr>
      <w:rPr>
        <w:rFonts w:hint="default"/>
      </w:rPr>
    </w:lvl>
    <w:lvl w:ilvl="1" w:tplc="040C0019">
      <w:start w:val="1"/>
      <w:numFmt w:val="lowerLetter"/>
      <w:lvlText w:val="%2."/>
      <w:lvlJc w:val="left"/>
      <w:pPr>
        <w:ind w:left="2204" w:hanging="360"/>
      </w:pPr>
    </w:lvl>
    <w:lvl w:ilvl="2" w:tplc="040C001B" w:tentative="1">
      <w:start w:val="1"/>
      <w:numFmt w:val="lowerRoman"/>
      <w:lvlText w:val="%3."/>
      <w:lvlJc w:val="right"/>
      <w:pPr>
        <w:ind w:left="2924" w:hanging="180"/>
      </w:pPr>
    </w:lvl>
    <w:lvl w:ilvl="3" w:tplc="040C000F" w:tentative="1">
      <w:start w:val="1"/>
      <w:numFmt w:val="decimal"/>
      <w:lvlText w:val="%4."/>
      <w:lvlJc w:val="left"/>
      <w:pPr>
        <w:ind w:left="3644" w:hanging="360"/>
      </w:pPr>
    </w:lvl>
    <w:lvl w:ilvl="4" w:tplc="040C0019" w:tentative="1">
      <w:start w:val="1"/>
      <w:numFmt w:val="lowerLetter"/>
      <w:lvlText w:val="%5."/>
      <w:lvlJc w:val="left"/>
      <w:pPr>
        <w:ind w:left="4364" w:hanging="360"/>
      </w:pPr>
    </w:lvl>
    <w:lvl w:ilvl="5" w:tplc="040C001B" w:tentative="1">
      <w:start w:val="1"/>
      <w:numFmt w:val="lowerRoman"/>
      <w:lvlText w:val="%6."/>
      <w:lvlJc w:val="right"/>
      <w:pPr>
        <w:ind w:left="5084" w:hanging="180"/>
      </w:pPr>
    </w:lvl>
    <w:lvl w:ilvl="6" w:tplc="040C000F" w:tentative="1">
      <w:start w:val="1"/>
      <w:numFmt w:val="decimal"/>
      <w:lvlText w:val="%7."/>
      <w:lvlJc w:val="left"/>
      <w:pPr>
        <w:ind w:left="5804" w:hanging="360"/>
      </w:pPr>
    </w:lvl>
    <w:lvl w:ilvl="7" w:tplc="040C0019" w:tentative="1">
      <w:start w:val="1"/>
      <w:numFmt w:val="lowerLetter"/>
      <w:lvlText w:val="%8."/>
      <w:lvlJc w:val="left"/>
      <w:pPr>
        <w:ind w:left="6524" w:hanging="360"/>
      </w:pPr>
    </w:lvl>
    <w:lvl w:ilvl="8" w:tplc="040C001B" w:tentative="1">
      <w:start w:val="1"/>
      <w:numFmt w:val="lowerRoman"/>
      <w:lvlText w:val="%9."/>
      <w:lvlJc w:val="right"/>
      <w:pPr>
        <w:ind w:left="7244" w:hanging="180"/>
      </w:pPr>
    </w:lvl>
  </w:abstractNum>
  <w:abstractNum w:abstractNumId="3">
    <w:nsid w:val="21673271"/>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31A24C02"/>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34DD3EF9"/>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3643603F"/>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37866000"/>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3A5B6560"/>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3B585DF9"/>
    <w:multiLevelType w:val="hybridMultilevel"/>
    <w:tmpl w:val="F0463E10"/>
    <w:lvl w:ilvl="0" w:tplc="ED768B6A">
      <w:start w:val="1"/>
      <w:numFmt w:val="lowerLetter"/>
      <w:lvlText w:val="(%1)"/>
      <w:lvlJc w:val="left"/>
      <w:pPr>
        <w:ind w:left="1855" w:hanging="360"/>
      </w:pPr>
      <w:rPr>
        <w:rFonts w:hint="default"/>
        <w:b w:val="0"/>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0">
    <w:nsid w:val="3D5932DE"/>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3F4D228F"/>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FE508A9"/>
    <w:multiLevelType w:val="hybridMultilevel"/>
    <w:tmpl w:val="BD805442"/>
    <w:lvl w:ilvl="0" w:tplc="B7E692E4">
      <w:start w:val="1"/>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3">
    <w:nsid w:val="43E15192"/>
    <w:multiLevelType w:val="hybridMultilevel"/>
    <w:tmpl w:val="8F983802"/>
    <w:lvl w:ilvl="0" w:tplc="637C2B74">
      <w:start w:val="1"/>
      <w:numFmt w:val="lowerLetter"/>
      <w:lvlText w:val="(%1)"/>
      <w:lvlJc w:val="left"/>
      <w:pPr>
        <w:ind w:left="2256" w:hanging="55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487B6CFF"/>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513E0B79"/>
    <w:multiLevelType w:val="hybridMultilevel"/>
    <w:tmpl w:val="D8D87926"/>
    <w:lvl w:ilvl="0" w:tplc="5784B908">
      <w:start w:val="1"/>
      <w:numFmt w:val="lowerLetter"/>
      <w:lvlText w:val="(%1)"/>
      <w:lvlJc w:val="left"/>
      <w:pPr>
        <w:ind w:left="2244" w:hanging="39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6">
    <w:nsid w:val="53651DA3"/>
    <w:multiLevelType w:val="hybridMultilevel"/>
    <w:tmpl w:val="9EA0DE0E"/>
    <w:lvl w:ilvl="0" w:tplc="3FA876B6">
      <w:start w:val="1"/>
      <w:numFmt w:val="lowerLetter"/>
      <w:lvlText w:val="(%1)"/>
      <w:lvlJc w:val="left"/>
      <w:pPr>
        <w:ind w:left="1920" w:hanging="360"/>
      </w:pPr>
      <w:rPr>
        <w:rFonts w:hint="default"/>
      </w:r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17">
    <w:nsid w:val="5BF519B3"/>
    <w:multiLevelType w:val="hybridMultilevel"/>
    <w:tmpl w:val="C80AC6DE"/>
    <w:lvl w:ilvl="0" w:tplc="1A7C4F9E">
      <w:start w:val="1"/>
      <w:numFmt w:val="lowerLetter"/>
      <w:lvlText w:val="(%1)"/>
      <w:lvlJc w:val="left"/>
      <w:pPr>
        <w:ind w:left="2214" w:hanging="360"/>
      </w:pPr>
      <w:rPr>
        <w:rFonts w:hint="default"/>
      </w:rPr>
    </w:lvl>
    <w:lvl w:ilvl="1" w:tplc="08090019">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8">
    <w:nsid w:val="5E3605FC"/>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6033503E"/>
    <w:multiLevelType w:val="hybridMultilevel"/>
    <w:tmpl w:val="14321BA2"/>
    <w:lvl w:ilvl="0" w:tplc="42D203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1856E45"/>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63051589"/>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64EE3AE2"/>
    <w:multiLevelType w:val="hybridMultilevel"/>
    <w:tmpl w:val="02500798"/>
    <w:lvl w:ilvl="0" w:tplc="10CE10DE">
      <w:start w:val="1"/>
      <w:numFmt w:val="low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nsid w:val="702E6E4A"/>
    <w:multiLevelType w:val="hybridMultilevel"/>
    <w:tmpl w:val="A21806DE"/>
    <w:lvl w:ilvl="0" w:tplc="AA180E9C">
      <w:start w:val="1"/>
      <w:numFmt w:val="lowerLetter"/>
      <w:lvlText w:val="(%1)"/>
      <w:lvlJc w:val="left"/>
      <w:pPr>
        <w:ind w:left="1494" w:hanging="360"/>
      </w:pPr>
      <w:rPr>
        <w:rFonts w:eastAsia="Malgun Gothic" w:hint="default"/>
        <w:color w:val="auto"/>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72515EDB"/>
    <w:multiLevelType w:val="hybridMultilevel"/>
    <w:tmpl w:val="2AFA42F8"/>
    <w:lvl w:ilvl="0" w:tplc="9F784E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7DAE48BE"/>
    <w:multiLevelType w:val="hybridMultilevel"/>
    <w:tmpl w:val="60086B1C"/>
    <w:lvl w:ilvl="0" w:tplc="8E249C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5"/>
  </w:num>
  <w:num w:numId="2">
    <w:abstractNumId w:val="8"/>
  </w:num>
  <w:num w:numId="3">
    <w:abstractNumId w:val="13"/>
  </w:num>
  <w:num w:numId="4">
    <w:abstractNumId w:val="12"/>
  </w:num>
  <w:num w:numId="5">
    <w:abstractNumId w:val="20"/>
  </w:num>
  <w:num w:numId="6">
    <w:abstractNumId w:val="3"/>
  </w:num>
  <w:num w:numId="7">
    <w:abstractNumId w:val="14"/>
  </w:num>
  <w:num w:numId="8">
    <w:abstractNumId w:val="18"/>
  </w:num>
  <w:num w:numId="9">
    <w:abstractNumId w:val="0"/>
  </w:num>
  <w:num w:numId="10">
    <w:abstractNumId w:val="4"/>
  </w:num>
  <w:num w:numId="11">
    <w:abstractNumId w:val="24"/>
  </w:num>
  <w:num w:numId="12">
    <w:abstractNumId w:val="5"/>
  </w:num>
  <w:num w:numId="13">
    <w:abstractNumId w:val="17"/>
  </w:num>
  <w:num w:numId="14">
    <w:abstractNumId w:val="22"/>
  </w:num>
  <w:num w:numId="15">
    <w:abstractNumId w:val="7"/>
  </w:num>
  <w:num w:numId="16">
    <w:abstractNumId w:val="6"/>
  </w:num>
  <w:num w:numId="17">
    <w:abstractNumId w:val="23"/>
  </w:num>
  <w:num w:numId="18">
    <w:abstractNumId w:val="19"/>
  </w:num>
  <w:num w:numId="19">
    <w:abstractNumId w:val="10"/>
  </w:num>
  <w:num w:numId="20">
    <w:abstractNumId w:val="21"/>
  </w:num>
  <w:num w:numId="21">
    <w:abstractNumId w:val="11"/>
  </w:num>
  <w:num w:numId="22">
    <w:abstractNumId w:val="2"/>
  </w:num>
  <w:num w:numId="23">
    <w:abstractNumId w:val="16"/>
  </w:num>
  <w:num w:numId="24">
    <w:abstractNumId w:val="1"/>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D5"/>
    <w:rsid w:val="00010D54"/>
    <w:rsid w:val="001352B1"/>
    <w:rsid w:val="002432D5"/>
    <w:rsid w:val="00261C29"/>
    <w:rsid w:val="00330B22"/>
    <w:rsid w:val="003976DF"/>
    <w:rsid w:val="003F2453"/>
    <w:rsid w:val="00496B4F"/>
    <w:rsid w:val="004A0526"/>
    <w:rsid w:val="004D16A6"/>
    <w:rsid w:val="004D32A5"/>
    <w:rsid w:val="0058529F"/>
    <w:rsid w:val="00586E18"/>
    <w:rsid w:val="006508EE"/>
    <w:rsid w:val="00674599"/>
    <w:rsid w:val="006C333C"/>
    <w:rsid w:val="006C54E0"/>
    <w:rsid w:val="00711FDA"/>
    <w:rsid w:val="007850B1"/>
    <w:rsid w:val="00802EC1"/>
    <w:rsid w:val="008056EE"/>
    <w:rsid w:val="00807ED0"/>
    <w:rsid w:val="00815A03"/>
    <w:rsid w:val="00855B78"/>
    <w:rsid w:val="00872911"/>
    <w:rsid w:val="00875A08"/>
    <w:rsid w:val="00B5656D"/>
    <w:rsid w:val="00BC796B"/>
    <w:rsid w:val="00C70B09"/>
    <w:rsid w:val="00C81D4D"/>
    <w:rsid w:val="00CA5F8C"/>
    <w:rsid w:val="00CC4DAF"/>
    <w:rsid w:val="00D1075B"/>
    <w:rsid w:val="00D60A20"/>
    <w:rsid w:val="00D6716E"/>
    <w:rsid w:val="00D73A0A"/>
    <w:rsid w:val="00D813FC"/>
    <w:rsid w:val="00E3722A"/>
    <w:rsid w:val="00E47FD1"/>
    <w:rsid w:val="00EB1D3E"/>
    <w:rsid w:val="00F03F0A"/>
    <w:rsid w:val="00F121E2"/>
    <w:rsid w:val="00F152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F121E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F121E2"/>
    <w:rPr>
      <w:rFonts w:ascii="Times New Roman" w:eastAsia="Times New Roman" w:hAnsi="Times New Roman" w:cs="Times New Roman"/>
      <w:sz w:val="20"/>
      <w:szCs w:val="20"/>
      <w:lang w:val="en-GB"/>
    </w:rPr>
  </w:style>
  <w:style w:type="paragraph" w:customStyle="1" w:styleId="H23G">
    <w:name w:val="_ H_2/3_G"/>
    <w:basedOn w:val="Normal"/>
    <w:next w:val="Normal"/>
    <w:rsid w:val="006C333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styleId="Hyperlink">
    <w:name w:val="Hyperlink"/>
    <w:basedOn w:val="DefaultParagraphFont"/>
    <w:uiPriority w:val="99"/>
    <w:semiHidden/>
    <w:unhideWhenUsed/>
    <w:rsid w:val="004D3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F121E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F121E2"/>
    <w:rPr>
      <w:rFonts w:ascii="Times New Roman" w:eastAsia="Times New Roman" w:hAnsi="Times New Roman" w:cs="Times New Roman"/>
      <w:sz w:val="20"/>
      <w:szCs w:val="20"/>
      <w:lang w:val="en-GB"/>
    </w:rPr>
  </w:style>
  <w:style w:type="paragraph" w:customStyle="1" w:styleId="H23G">
    <w:name w:val="_ H_2/3_G"/>
    <w:basedOn w:val="Normal"/>
    <w:next w:val="Normal"/>
    <w:rsid w:val="006C333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styleId="Hyperlink">
    <w:name w:val="Hyperlink"/>
    <w:basedOn w:val="DefaultParagraphFont"/>
    <w:uiPriority w:val="99"/>
    <w:semiHidden/>
    <w:unhideWhenUsed/>
    <w:rsid w:val="004D3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295863">
      <w:bodyDiv w:val="1"/>
      <w:marLeft w:val="0"/>
      <w:marRight w:val="0"/>
      <w:marTop w:val="0"/>
      <w:marBottom w:val="0"/>
      <w:divBdr>
        <w:top w:val="none" w:sz="0" w:space="0" w:color="auto"/>
        <w:left w:val="none" w:sz="0" w:space="0" w:color="auto"/>
        <w:bottom w:val="none" w:sz="0" w:space="0" w:color="auto"/>
        <w:right w:val="none" w:sz="0" w:space="0" w:color="auto"/>
      </w:divBdr>
    </w:div>
    <w:div w:id="18739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binternet.ohchr.org/_layouts/treatybodyexternal/SessionDetails1.aspx?SessionID=837&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nternet.ohchr.org/_layouts/treatybodyexternal/SessionDetails1.aspx?SessionID=837&amp;La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M5010</dc:creator>
  <cp:lastModifiedBy>Inspiron M5010</cp:lastModifiedBy>
  <cp:revision>33</cp:revision>
  <dcterms:created xsi:type="dcterms:W3CDTF">2014-09-27T10:58:00Z</dcterms:created>
  <dcterms:modified xsi:type="dcterms:W3CDTF">2014-09-29T12:00:00Z</dcterms:modified>
</cp:coreProperties>
</file>